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DCB8C">
      <w:pPr>
        <w:widowControl/>
        <w:spacing w:before="240" w:after="240" w:line="520" w:lineRule="exact"/>
        <w:rPr>
          <w:rFonts w:ascii="华文中宋" w:hAnsi="华文中宋" w:eastAsia="华文中宋"/>
          <w:bCs/>
          <w:kern w:val="36"/>
          <w:sz w:val="28"/>
          <w:szCs w:val="28"/>
        </w:rPr>
      </w:pPr>
      <w:r>
        <w:rPr>
          <w:rFonts w:hint="eastAsia" w:ascii="华文中宋" w:hAnsi="华文中宋" w:eastAsia="华文中宋"/>
          <w:bCs/>
          <w:kern w:val="36"/>
          <w:sz w:val="28"/>
          <w:szCs w:val="28"/>
        </w:rPr>
        <w:t>铜陵学院</w:t>
      </w:r>
    </w:p>
    <w:p w14:paraId="4580E25C">
      <w:pPr>
        <w:widowControl/>
        <w:spacing w:before="240" w:after="240" w:line="520" w:lineRule="exact"/>
        <w:jc w:val="center"/>
        <w:rPr>
          <w:rFonts w:ascii="华文中宋" w:hAnsi="华文中宋" w:eastAsia="华文中宋"/>
          <w:b/>
          <w:kern w:val="36"/>
          <w:sz w:val="52"/>
          <w:szCs w:val="52"/>
        </w:rPr>
      </w:pPr>
      <w:r>
        <w:rPr>
          <w:rFonts w:hint="eastAsia" w:ascii="华文中宋" w:hAnsi="华文中宋" w:eastAsia="华文中宋"/>
          <w:b/>
          <w:kern w:val="36"/>
          <w:sz w:val="52"/>
          <w:szCs w:val="52"/>
        </w:rPr>
        <w:t>二级</w:t>
      </w:r>
      <w:r>
        <w:rPr>
          <w:rFonts w:ascii="华文中宋" w:hAnsi="华文中宋" w:eastAsia="华文中宋"/>
          <w:b/>
          <w:kern w:val="36"/>
          <w:sz w:val="52"/>
          <w:szCs w:val="52"/>
        </w:rPr>
        <w:t>党</w:t>
      </w:r>
      <w:r>
        <w:rPr>
          <w:rFonts w:hint="eastAsia" w:ascii="华文中宋" w:hAnsi="华文中宋" w:eastAsia="华文中宋"/>
          <w:b/>
          <w:kern w:val="36"/>
          <w:sz w:val="52"/>
          <w:szCs w:val="52"/>
        </w:rPr>
        <w:t>组织</w:t>
      </w:r>
      <w:r>
        <w:rPr>
          <w:rFonts w:ascii="华文中宋" w:hAnsi="华文中宋" w:eastAsia="华文中宋"/>
          <w:b/>
          <w:kern w:val="36"/>
          <w:sz w:val="52"/>
          <w:szCs w:val="52"/>
        </w:rPr>
        <w:t>理论学习中心组</w:t>
      </w:r>
    </w:p>
    <w:p w14:paraId="1DDFC10E">
      <w:pPr>
        <w:widowControl/>
        <w:spacing w:before="240" w:after="240" w:line="520" w:lineRule="exact"/>
        <w:jc w:val="center"/>
        <w:rPr>
          <w:rFonts w:ascii="华文中宋" w:hAnsi="华文中宋" w:eastAsia="华文中宋"/>
          <w:b/>
          <w:kern w:val="36"/>
          <w:sz w:val="52"/>
          <w:szCs w:val="52"/>
        </w:rPr>
      </w:pPr>
      <w:r>
        <w:rPr>
          <w:rFonts w:hint="eastAsia" w:ascii="华文中宋" w:hAnsi="华文中宋" w:eastAsia="华文中宋"/>
          <w:b/>
          <w:kern w:val="36"/>
          <w:sz w:val="52"/>
          <w:szCs w:val="52"/>
        </w:rPr>
        <w:t>暨教职工政治理论学习</w:t>
      </w:r>
    </w:p>
    <w:p w14:paraId="6DD91CAA">
      <w:pPr>
        <w:widowControl/>
        <w:spacing w:before="240" w:after="240" w:line="520" w:lineRule="exact"/>
        <w:jc w:val="center"/>
        <w:rPr>
          <w:rFonts w:ascii="黑体" w:hAnsi="黑体" w:eastAsia="黑体"/>
          <w:kern w:val="36"/>
          <w:sz w:val="44"/>
        </w:rPr>
      </w:pPr>
      <w:r>
        <w:rPr>
          <w:rFonts w:hint="eastAsia" w:ascii="华文中宋" w:hAnsi="华文中宋" w:eastAsia="华文中宋"/>
          <w:b/>
          <w:kern w:val="36"/>
          <w:sz w:val="52"/>
          <w:szCs w:val="52"/>
        </w:rPr>
        <w:t>2026年第2期</w:t>
      </w:r>
    </w:p>
    <w:p w14:paraId="0AB1DED3">
      <w:pPr>
        <w:widowControl/>
        <w:spacing w:before="240" w:after="240" w:line="520" w:lineRule="exact"/>
        <w:jc w:val="center"/>
        <w:rPr>
          <w:rFonts w:ascii="微软雅黑" w:hAnsi="微软雅黑" w:eastAsia="微软雅黑"/>
          <w:b/>
          <w:kern w:val="36"/>
          <w:sz w:val="84"/>
          <w:szCs w:val="84"/>
        </w:rPr>
      </w:pPr>
    </w:p>
    <w:p w14:paraId="0D93214A">
      <w:pPr>
        <w:widowControl/>
        <w:jc w:val="center"/>
        <w:rPr>
          <w:rFonts w:ascii="微软雅黑" w:hAnsi="微软雅黑" w:eastAsia="微软雅黑" w:cs="微软雅黑"/>
          <w:b/>
          <w:kern w:val="36"/>
          <w:sz w:val="84"/>
          <w:szCs w:val="84"/>
        </w:rPr>
      </w:pPr>
      <w:r>
        <w:rPr>
          <w:rFonts w:hint="eastAsia" w:ascii="微软雅黑" w:hAnsi="微软雅黑" w:eastAsia="微软雅黑" w:cs="微软雅黑"/>
          <w:b/>
          <w:kern w:val="36"/>
          <w:sz w:val="84"/>
          <w:szCs w:val="84"/>
        </w:rPr>
        <w:t>资</w:t>
      </w:r>
    </w:p>
    <w:p w14:paraId="2373FFCC">
      <w:pPr>
        <w:widowControl/>
        <w:jc w:val="center"/>
        <w:rPr>
          <w:rFonts w:ascii="微软雅黑" w:hAnsi="微软雅黑" w:eastAsia="微软雅黑" w:cs="微软雅黑"/>
          <w:b/>
          <w:kern w:val="36"/>
          <w:sz w:val="84"/>
          <w:szCs w:val="84"/>
        </w:rPr>
      </w:pPr>
      <w:r>
        <w:rPr>
          <w:rFonts w:hint="eastAsia" w:ascii="微软雅黑" w:hAnsi="微软雅黑" w:eastAsia="微软雅黑" w:cs="微软雅黑"/>
          <w:b/>
          <w:kern w:val="36"/>
          <w:sz w:val="84"/>
          <w:szCs w:val="84"/>
        </w:rPr>
        <w:t>料</w:t>
      </w:r>
    </w:p>
    <w:p w14:paraId="731FF27C">
      <w:pPr>
        <w:widowControl/>
        <w:jc w:val="center"/>
        <w:rPr>
          <w:rFonts w:ascii="微软雅黑" w:hAnsi="微软雅黑" w:eastAsia="微软雅黑" w:cs="微软雅黑"/>
          <w:b/>
          <w:kern w:val="36"/>
          <w:sz w:val="84"/>
          <w:szCs w:val="84"/>
        </w:rPr>
      </w:pPr>
      <w:r>
        <w:rPr>
          <w:rFonts w:hint="eastAsia" w:ascii="微软雅黑" w:hAnsi="微软雅黑" w:eastAsia="微软雅黑" w:cs="微软雅黑"/>
          <w:b/>
          <w:kern w:val="36"/>
          <w:sz w:val="84"/>
          <w:szCs w:val="84"/>
        </w:rPr>
        <w:t>汇</w:t>
      </w:r>
    </w:p>
    <w:p w14:paraId="1CEC4642">
      <w:pPr>
        <w:widowControl/>
        <w:jc w:val="center"/>
        <w:rPr>
          <w:rFonts w:ascii="仿宋" w:hAnsi="仿宋" w:eastAsia="仿宋"/>
          <w:b/>
          <w:kern w:val="36"/>
          <w:sz w:val="32"/>
          <w:szCs w:val="32"/>
        </w:rPr>
      </w:pPr>
      <w:r>
        <w:rPr>
          <w:rFonts w:hint="eastAsia" w:ascii="微软雅黑" w:hAnsi="微软雅黑" w:eastAsia="微软雅黑" w:cs="微软雅黑"/>
          <w:b/>
          <w:kern w:val="36"/>
          <w:sz w:val="84"/>
          <w:szCs w:val="84"/>
        </w:rPr>
        <w:t>编</w:t>
      </w:r>
    </w:p>
    <w:p w14:paraId="6EC81FC2">
      <w:pPr>
        <w:widowControl/>
        <w:spacing w:before="240" w:after="240" w:line="520" w:lineRule="exact"/>
        <w:jc w:val="center"/>
        <w:rPr>
          <w:rFonts w:ascii="仿宋" w:hAnsi="仿宋" w:eastAsia="仿宋"/>
          <w:b/>
          <w:kern w:val="36"/>
          <w:sz w:val="32"/>
          <w:szCs w:val="32"/>
        </w:rPr>
      </w:pPr>
    </w:p>
    <w:p w14:paraId="34FC312C">
      <w:pPr>
        <w:widowControl/>
        <w:spacing w:before="240" w:after="240" w:line="520" w:lineRule="exact"/>
        <w:jc w:val="center"/>
        <w:rPr>
          <w:rFonts w:ascii="仿宋" w:hAnsi="仿宋" w:eastAsia="仿宋"/>
          <w:b/>
          <w:kern w:val="36"/>
          <w:sz w:val="32"/>
          <w:szCs w:val="32"/>
        </w:rPr>
      </w:pPr>
      <w:r>
        <w:rPr>
          <w:rFonts w:hint="eastAsia" w:ascii="仿宋" w:hAnsi="仿宋" w:eastAsia="仿宋"/>
          <w:b/>
          <w:kern w:val="36"/>
          <w:sz w:val="32"/>
          <w:szCs w:val="32"/>
        </w:rPr>
        <w:t>中共铜陵学院党委宣传部</w:t>
      </w:r>
    </w:p>
    <w:p w14:paraId="08CC7AF7">
      <w:pPr>
        <w:pStyle w:val="2"/>
        <w:spacing w:before="240" w:beforeAutospacing="0" w:after="240" w:afterAutospacing="0" w:line="520" w:lineRule="exact"/>
        <w:jc w:val="center"/>
        <w:rPr>
          <w:rFonts w:hint="default" w:ascii="仿宋" w:hAnsi="仿宋" w:eastAsia="仿宋"/>
          <w:kern w:val="36"/>
          <w:sz w:val="32"/>
          <w:szCs w:val="32"/>
        </w:rPr>
      </w:pPr>
      <w:r>
        <w:rPr>
          <w:rFonts w:ascii="仿宋" w:hAnsi="仿宋" w:eastAsia="仿宋"/>
          <w:kern w:val="36"/>
          <w:sz w:val="32"/>
          <w:szCs w:val="32"/>
        </w:rPr>
        <w:t>2026年2月</w:t>
      </w:r>
    </w:p>
    <w:p w14:paraId="20D54C86">
      <w:pPr>
        <w:rPr>
          <w:rFonts w:ascii="仿宋" w:hAnsi="仿宋" w:eastAsia="仿宋"/>
          <w:kern w:val="36"/>
          <w:sz w:val="32"/>
          <w:szCs w:val="32"/>
        </w:rPr>
      </w:pPr>
    </w:p>
    <w:p w14:paraId="651C9BBB">
      <w:pPr>
        <w:rPr>
          <w:rFonts w:ascii="仿宋" w:hAnsi="仿宋" w:eastAsia="仿宋"/>
          <w:kern w:val="36"/>
          <w:sz w:val="32"/>
          <w:szCs w:val="32"/>
        </w:rPr>
        <w:sectPr>
          <w:pgSz w:w="11906" w:h="16838"/>
          <w:pgMar w:top="1417" w:right="1701" w:bottom="1417" w:left="1701" w:header="851" w:footer="992" w:gutter="0"/>
          <w:cols w:space="720" w:num="1"/>
          <w:docGrid w:type="lines" w:linePitch="312" w:charSpace="0"/>
        </w:sectPr>
      </w:pPr>
    </w:p>
    <w:p w14:paraId="02454BB0">
      <w:pPr>
        <w:pStyle w:val="2"/>
        <w:widowControl/>
        <w:spacing w:before="240" w:beforeAutospacing="0" w:after="240" w:afterAutospacing="0" w:line="520" w:lineRule="exact"/>
        <w:jc w:val="center"/>
        <w:rPr>
          <w:rFonts w:hint="default" w:ascii="黑体" w:hAnsi="黑体" w:eastAsia="黑体"/>
          <w:sz w:val="44"/>
          <w:szCs w:val="44"/>
        </w:rPr>
      </w:pPr>
    </w:p>
    <w:p w14:paraId="0BC74D1F">
      <w:pPr>
        <w:pStyle w:val="2"/>
        <w:widowControl/>
        <w:spacing w:before="240" w:beforeAutospacing="0" w:after="240" w:afterAutospacing="0" w:line="520" w:lineRule="exact"/>
        <w:jc w:val="center"/>
        <w:rPr>
          <w:rFonts w:hint="default" w:ascii="黑体" w:hAnsi="黑体" w:eastAsia="黑体"/>
          <w:sz w:val="44"/>
          <w:szCs w:val="44"/>
        </w:rPr>
      </w:pPr>
      <w:r>
        <w:rPr>
          <w:rFonts w:ascii="黑体" w:hAnsi="黑体" w:eastAsia="黑体"/>
          <w:sz w:val="44"/>
          <w:szCs w:val="44"/>
        </w:rPr>
        <w:t>目  录</w:t>
      </w:r>
    </w:p>
    <w:p w14:paraId="153F1C1B">
      <w:pPr>
        <w:widowControl/>
        <w:shd w:val="clear" w:color="auto" w:fill="FFFFFF"/>
        <w:spacing w:line="520" w:lineRule="exact"/>
        <w:rPr>
          <w:rFonts w:ascii="仿宋" w:hAnsi="仿宋" w:eastAsia="仿宋" w:cs="仿宋"/>
          <w:kern w:val="0"/>
          <w:sz w:val="24"/>
          <w:shd w:val="clear" w:color="auto" w:fill="FFFFFF"/>
          <w:lang w:bidi="ar"/>
        </w:rPr>
      </w:pPr>
    </w:p>
    <w:p w14:paraId="1AA2DA4B">
      <w:pPr>
        <w:widowControl/>
        <w:spacing w:line="520" w:lineRule="exact"/>
        <w:jc w:val="distribute"/>
        <w:rPr>
          <w:rFonts w:ascii="仿宋" w:hAnsi="仿宋" w:eastAsia="仿宋" w:cs="仿宋"/>
          <w:kern w:val="0"/>
          <w:sz w:val="24"/>
          <w:shd w:val="clear" w:color="auto" w:fill="FFFFFF"/>
          <w:lang w:bidi="ar"/>
        </w:rPr>
      </w:pPr>
      <w:r>
        <w:rPr>
          <w:rFonts w:hint="eastAsia" w:ascii="仿宋" w:hAnsi="仿宋" w:eastAsia="仿宋" w:cs="仿宋"/>
          <w:kern w:val="0"/>
          <w:sz w:val="24"/>
          <w:shd w:val="clear" w:color="auto" w:fill="FFFFFF"/>
          <w:lang w:val="en-US" w:eastAsia="zh-CN" w:bidi="ar"/>
        </w:rPr>
        <w:t>1.</w:t>
      </w:r>
      <w:r>
        <w:rPr>
          <w:rFonts w:hint="eastAsia" w:ascii="仿宋" w:hAnsi="仿宋" w:eastAsia="仿宋" w:cs="仿宋"/>
          <w:kern w:val="0"/>
          <w:sz w:val="24"/>
          <w:shd w:val="clear" w:color="auto" w:fill="FFFFFF"/>
          <w:lang w:bidi="ar"/>
        </w:rPr>
        <w:t>习近平：在中央城市工作会议上的讲话...................................1</w:t>
      </w:r>
    </w:p>
    <w:p w14:paraId="02B0DAB6">
      <w:pPr>
        <w:widowControl/>
        <w:spacing w:line="520" w:lineRule="exact"/>
        <w:jc w:val="distribute"/>
        <w:rPr>
          <w:rFonts w:ascii="仿宋" w:hAnsi="仿宋" w:eastAsia="仿宋" w:cs="仿宋"/>
          <w:kern w:val="0"/>
          <w:sz w:val="24"/>
          <w:shd w:val="clear" w:color="auto" w:fill="FFFFFF"/>
          <w:lang w:bidi="ar"/>
        </w:rPr>
      </w:pPr>
      <w:r>
        <w:rPr>
          <w:rFonts w:hint="eastAsia" w:ascii="仿宋" w:hAnsi="仿宋" w:eastAsia="仿宋" w:cs="仿宋"/>
          <w:kern w:val="0"/>
          <w:sz w:val="24"/>
          <w:shd w:val="clear" w:color="auto" w:fill="FFFFFF"/>
          <w:lang w:bidi="ar"/>
        </w:rPr>
        <w:t xml:space="preserve">2.习近平在省部级主要领导干部学习贯彻党的二十届四中全会精神专题研讨班开 </w:t>
      </w:r>
      <w:r>
        <w:rPr>
          <w:rFonts w:ascii="仿宋" w:hAnsi="仿宋" w:eastAsia="仿宋" w:cs="仿宋"/>
          <w:kern w:val="0"/>
          <w:sz w:val="24"/>
          <w:shd w:val="clear" w:color="auto" w:fill="FFFFFF"/>
          <w:lang w:bidi="ar"/>
        </w:rPr>
        <w:t xml:space="preserve"> </w:t>
      </w:r>
      <w:r>
        <w:rPr>
          <w:rFonts w:hint="eastAsia" w:ascii="仿宋" w:hAnsi="仿宋" w:eastAsia="仿宋" w:cs="仿宋"/>
          <w:kern w:val="0"/>
          <w:sz w:val="24"/>
          <w:shd w:val="clear" w:color="auto" w:fill="FFFFFF"/>
          <w:lang w:bidi="ar"/>
        </w:rPr>
        <w:t>班式上发表重要讲话....................................................8</w:t>
      </w:r>
    </w:p>
    <w:p w14:paraId="38B17390">
      <w:pPr>
        <w:widowControl/>
        <w:spacing w:line="520" w:lineRule="exact"/>
        <w:jc w:val="left"/>
        <w:rPr>
          <w:rFonts w:ascii="仿宋" w:hAnsi="仿宋" w:eastAsia="仿宋" w:cs="仿宋"/>
          <w:kern w:val="0"/>
          <w:sz w:val="24"/>
          <w:shd w:val="clear" w:color="auto" w:fill="FFFFFF"/>
          <w:lang w:bidi="ar"/>
        </w:rPr>
      </w:pPr>
      <w:r>
        <w:rPr>
          <w:rFonts w:hint="eastAsia" w:ascii="仿宋" w:hAnsi="仿宋" w:eastAsia="仿宋" w:cs="仿宋"/>
          <w:kern w:val="0"/>
          <w:sz w:val="24"/>
          <w:shd w:val="clear" w:color="auto" w:fill="FFFFFF"/>
          <w:lang w:bidi="ar"/>
        </w:rPr>
        <w:t>3.中共中央政治局召开会议 审议《中央政治局常委会听取和研究全国人大常委会、国务院、全国政协、最高人民法院、最高人民检察院党组工作汇报和中央书记处工作报告的综合情况报告》 中共中央总书记习近平主持会议...................11</w:t>
      </w:r>
    </w:p>
    <w:p w14:paraId="3E0D787D">
      <w:pPr>
        <w:widowControl/>
        <w:spacing w:line="520" w:lineRule="exact"/>
        <w:jc w:val="distribute"/>
        <w:rPr>
          <w:rFonts w:ascii="仿宋" w:hAnsi="仿宋" w:eastAsia="仿宋" w:cs="仿宋"/>
          <w:kern w:val="0"/>
          <w:sz w:val="24"/>
          <w:shd w:val="clear" w:color="auto" w:fill="FFFFFF"/>
          <w:lang w:bidi="ar"/>
        </w:rPr>
      </w:pPr>
      <w:r>
        <w:rPr>
          <w:rFonts w:hint="eastAsia" w:ascii="仿宋" w:hAnsi="仿宋" w:eastAsia="仿宋" w:cs="仿宋"/>
          <w:kern w:val="0"/>
          <w:sz w:val="24"/>
          <w:shd w:val="clear" w:color="auto" w:fill="FFFFFF"/>
          <w:lang w:bidi="ar"/>
        </w:rPr>
        <w:t>4.习近平：走好中国特色金融发展之路，建设金融强国.......................13</w:t>
      </w:r>
    </w:p>
    <w:p w14:paraId="40A70C38">
      <w:pPr>
        <w:widowControl/>
        <w:shd w:val="clear" w:color="auto" w:fill="FFFFFF"/>
        <w:spacing w:line="520" w:lineRule="exact"/>
        <w:jc w:val="distribute"/>
        <w:rPr>
          <w:rFonts w:ascii="仿宋" w:hAnsi="仿宋" w:eastAsia="仿宋" w:cs="仿宋"/>
          <w:sz w:val="24"/>
        </w:rPr>
      </w:pPr>
      <w:r>
        <w:rPr>
          <w:rFonts w:hint="eastAsia" w:ascii="仿宋" w:hAnsi="仿宋" w:eastAsia="仿宋" w:cs="仿宋"/>
          <w:sz w:val="24"/>
        </w:rPr>
        <w:t>5</w:t>
      </w:r>
      <w:r>
        <w:rPr>
          <w:rFonts w:ascii="仿宋" w:hAnsi="仿宋" w:eastAsia="仿宋" w:cs="仿宋"/>
          <w:sz w:val="24"/>
        </w:rPr>
        <w:t>.</w:t>
      </w:r>
      <w:r>
        <w:rPr>
          <w:rFonts w:hint="eastAsia" w:ascii="仿宋" w:hAnsi="仿宋" w:eastAsia="仿宋" w:cs="仿宋"/>
          <w:sz w:val="24"/>
        </w:rPr>
        <w:t>习近平：发挥比较优势 坚持稳中求进 推动我国未来产业发展不断取得</w:t>
      </w:r>
    </w:p>
    <w:p w14:paraId="06CCF9A3">
      <w:pPr>
        <w:widowControl/>
        <w:shd w:val="clear" w:color="auto" w:fill="FFFFFF"/>
        <w:spacing w:line="520" w:lineRule="exact"/>
        <w:jc w:val="distribute"/>
        <w:rPr>
          <w:rFonts w:ascii="宋体" w:hAnsi="宋体" w:eastAsia="仿宋" w:cs="宋体"/>
          <w:b/>
          <w:bCs/>
          <w:sz w:val="32"/>
          <w:szCs w:val="32"/>
        </w:rPr>
      </w:pPr>
      <w:r>
        <w:rPr>
          <w:rFonts w:hint="eastAsia" w:ascii="仿宋" w:hAnsi="仿宋" w:eastAsia="仿宋" w:cs="仿宋"/>
          <w:sz w:val="24"/>
        </w:rPr>
        <w:t>新突破</w:t>
      </w:r>
      <w:r>
        <w:rPr>
          <w:rFonts w:hint="eastAsia" w:ascii="仿宋" w:hAnsi="仿宋" w:eastAsia="仿宋" w:cs="仿宋"/>
          <w:kern w:val="0"/>
          <w:sz w:val="24"/>
          <w:shd w:val="clear" w:color="auto" w:fill="FFFFFF"/>
          <w:lang w:bidi="ar"/>
        </w:rPr>
        <w:t>.............................................</w:t>
      </w:r>
      <w:bookmarkStart w:id="0" w:name="_GoBack"/>
      <w:bookmarkEnd w:id="0"/>
      <w:r>
        <w:rPr>
          <w:rFonts w:hint="eastAsia" w:ascii="仿宋" w:hAnsi="仿宋" w:eastAsia="仿宋" w:cs="仿宋"/>
          <w:kern w:val="0"/>
          <w:sz w:val="24"/>
          <w:shd w:val="clear" w:color="auto" w:fill="FFFFFF"/>
          <w:lang w:bidi="ar"/>
        </w:rPr>
        <w:t>..................18</w:t>
      </w:r>
    </w:p>
    <w:p w14:paraId="6F819589">
      <w:pPr>
        <w:pStyle w:val="7"/>
        <w:widowControl/>
        <w:shd w:val="clear" w:color="auto" w:fill="FFFFFF"/>
        <w:spacing w:before="0" w:beforeAutospacing="0" w:after="0" w:afterAutospacing="0" w:line="540" w:lineRule="exact"/>
        <w:rPr>
          <w:rFonts w:ascii="宋体" w:hAnsi="宋体" w:cs="宋体"/>
          <w:b/>
          <w:bCs/>
          <w:sz w:val="32"/>
          <w:szCs w:val="32"/>
        </w:rPr>
      </w:pPr>
    </w:p>
    <w:p w14:paraId="0A7D64F3">
      <w:pPr>
        <w:pStyle w:val="7"/>
        <w:widowControl/>
        <w:shd w:val="clear" w:color="auto" w:fill="FFFFFF"/>
        <w:spacing w:before="0" w:beforeAutospacing="0" w:after="0" w:afterAutospacing="0" w:line="540" w:lineRule="exact"/>
        <w:rPr>
          <w:rFonts w:ascii="宋体" w:hAnsi="宋体" w:cs="宋体"/>
          <w:b/>
          <w:bCs/>
          <w:sz w:val="32"/>
          <w:szCs w:val="32"/>
        </w:rPr>
      </w:pPr>
    </w:p>
    <w:p w14:paraId="1529848E">
      <w:pPr>
        <w:pStyle w:val="7"/>
        <w:widowControl/>
        <w:shd w:val="clear" w:color="auto" w:fill="FFFFFF"/>
        <w:spacing w:before="0" w:beforeAutospacing="0" w:after="0" w:afterAutospacing="0" w:line="540" w:lineRule="exact"/>
        <w:rPr>
          <w:rFonts w:ascii="宋体" w:hAnsi="宋体" w:cs="宋体"/>
          <w:b/>
          <w:bCs/>
          <w:sz w:val="32"/>
          <w:szCs w:val="32"/>
        </w:rPr>
      </w:pPr>
    </w:p>
    <w:p w14:paraId="76118C61">
      <w:pPr>
        <w:pStyle w:val="7"/>
        <w:widowControl/>
        <w:shd w:val="clear" w:color="auto" w:fill="FFFFFF"/>
        <w:spacing w:before="0" w:beforeAutospacing="0" w:after="0" w:afterAutospacing="0" w:line="540" w:lineRule="exact"/>
        <w:rPr>
          <w:rFonts w:ascii="宋体" w:hAnsi="宋体" w:cs="宋体"/>
          <w:b/>
          <w:bCs/>
          <w:sz w:val="32"/>
          <w:szCs w:val="32"/>
        </w:rPr>
      </w:pPr>
    </w:p>
    <w:p w14:paraId="502CD917">
      <w:pPr>
        <w:pStyle w:val="7"/>
        <w:widowControl/>
        <w:shd w:val="clear" w:color="auto" w:fill="FFFFFF"/>
        <w:spacing w:before="0" w:beforeAutospacing="0" w:after="0" w:afterAutospacing="0" w:line="540" w:lineRule="exact"/>
        <w:rPr>
          <w:rFonts w:ascii="宋体" w:hAnsi="宋体" w:cs="宋体"/>
          <w:b/>
          <w:bCs/>
          <w:sz w:val="32"/>
          <w:szCs w:val="32"/>
        </w:rPr>
      </w:pPr>
    </w:p>
    <w:p w14:paraId="5569F34E">
      <w:pPr>
        <w:pStyle w:val="7"/>
        <w:widowControl/>
        <w:shd w:val="clear" w:color="auto" w:fill="FFFFFF"/>
        <w:spacing w:before="0" w:beforeAutospacing="0" w:after="0" w:afterAutospacing="0" w:line="540" w:lineRule="exact"/>
        <w:rPr>
          <w:rFonts w:ascii="宋体" w:hAnsi="宋体" w:cs="宋体"/>
          <w:b/>
          <w:bCs/>
          <w:sz w:val="32"/>
          <w:szCs w:val="32"/>
        </w:rPr>
      </w:pPr>
    </w:p>
    <w:p w14:paraId="44542F3B">
      <w:pPr>
        <w:pStyle w:val="7"/>
        <w:widowControl/>
        <w:shd w:val="clear" w:color="auto" w:fill="FFFFFF"/>
        <w:spacing w:before="0" w:beforeAutospacing="0" w:after="0" w:afterAutospacing="0" w:line="540" w:lineRule="exact"/>
        <w:rPr>
          <w:rFonts w:ascii="宋体" w:hAnsi="宋体" w:cs="宋体"/>
          <w:b/>
          <w:bCs/>
          <w:sz w:val="32"/>
          <w:szCs w:val="32"/>
        </w:rPr>
      </w:pPr>
    </w:p>
    <w:p w14:paraId="38DDDC3F">
      <w:pPr>
        <w:pStyle w:val="7"/>
        <w:widowControl/>
        <w:shd w:val="clear" w:color="auto" w:fill="FFFFFF"/>
        <w:spacing w:before="0" w:beforeAutospacing="0" w:after="0" w:afterAutospacing="0" w:line="540" w:lineRule="exact"/>
        <w:rPr>
          <w:rFonts w:ascii="宋体" w:hAnsi="宋体" w:cs="宋体"/>
          <w:b/>
          <w:bCs/>
          <w:sz w:val="32"/>
          <w:szCs w:val="32"/>
        </w:rPr>
      </w:pPr>
    </w:p>
    <w:p w14:paraId="7DF3E211">
      <w:pPr>
        <w:pStyle w:val="7"/>
        <w:widowControl/>
        <w:shd w:val="clear" w:color="auto" w:fill="FFFFFF"/>
        <w:spacing w:before="0" w:beforeAutospacing="0" w:after="0" w:afterAutospacing="0" w:line="540" w:lineRule="exact"/>
        <w:rPr>
          <w:rFonts w:ascii="宋体" w:hAnsi="宋体" w:cs="宋体"/>
          <w:b/>
          <w:bCs/>
          <w:sz w:val="32"/>
          <w:szCs w:val="32"/>
        </w:rPr>
      </w:pPr>
    </w:p>
    <w:p w14:paraId="79DEFB1C">
      <w:pPr>
        <w:pStyle w:val="7"/>
        <w:widowControl/>
        <w:shd w:val="clear" w:color="auto" w:fill="FFFFFF"/>
        <w:spacing w:before="0" w:beforeAutospacing="0" w:after="0" w:afterAutospacing="0" w:line="540" w:lineRule="exact"/>
        <w:rPr>
          <w:rFonts w:ascii="宋体" w:hAnsi="宋体" w:cs="宋体"/>
          <w:b/>
          <w:bCs/>
          <w:sz w:val="32"/>
          <w:szCs w:val="32"/>
        </w:rPr>
      </w:pPr>
    </w:p>
    <w:p w14:paraId="7C42EFC7">
      <w:pPr>
        <w:pStyle w:val="7"/>
        <w:widowControl/>
        <w:shd w:val="clear" w:color="auto" w:fill="FFFFFF"/>
        <w:spacing w:before="0" w:beforeAutospacing="0" w:after="0" w:afterAutospacing="0" w:line="540" w:lineRule="exact"/>
        <w:rPr>
          <w:rFonts w:ascii="宋体" w:hAnsi="宋体" w:cs="宋体"/>
          <w:b/>
          <w:bCs/>
          <w:sz w:val="32"/>
          <w:szCs w:val="32"/>
        </w:rPr>
      </w:pPr>
    </w:p>
    <w:p w14:paraId="256A8B8E">
      <w:pPr>
        <w:spacing w:line="440" w:lineRule="exact"/>
        <w:rPr>
          <w:rFonts w:ascii="宋体" w:hAnsi="宋体" w:cs="宋体"/>
          <w:sz w:val="28"/>
          <w:szCs w:val="28"/>
        </w:rPr>
      </w:pPr>
    </w:p>
    <w:p w14:paraId="740C40E1">
      <w:pPr>
        <w:jc w:val="center"/>
        <w:rPr>
          <w:rFonts w:ascii="宋体" w:hAnsi="宋体" w:cs="宋体"/>
          <w:b/>
          <w:bCs/>
          <w:kern w:val="0"/>
          <w:sz w:val="32"/>
          <w:szCs w:val="32"/>
        </w:rPr>
        <w:sectPr>
          <w:footerReference r:id="rId3" w:type="default"/>
          <w:pgSz w:w="11906" w:h="16838"/>
          <w:pgMar w:top="1418" w:right="1644" w:bottom="1418" w:left="1701" w:header="851" w:footer="992" w:gutter="0"/>
          <w:pgNumType w:start="1"/>
          <w:cols w:space="720" w:num="1"/>
          <w:docGrid w:type="lines" w:linePitch="312" w:charSpace="0"/>
        </w:sectPr>
      </w:pPr>
    </w:p>
    <w:p w14:paraId="3509554F">
      <w:pPr>
        <w:jc w:val="center"/>
        <w:rPr>
          <w:rFonts w:ascii="宋体" w:hAnsi="宋体" w:cs="宋体"/>
          <w:b/>
          <w:bCs/>
          <w:kern w:val="0"/>
          <w:sz w:val="32"/>
          <w:szCs w:val="32"/>
        </w:rPr>
      </w:pPr>
      <w:r>
        <w:rPr>
          <w:rFonts w:ascii="宋体" w:hAnsi="宋体" w:cs="宋体"/>
          <w:b/>
          <w:bCs/>
          <w:kern w:val="0"/>
          <w:sz w:val="32"/>
          <w:szCs w:val="32"/>
        </w:rPr>
        <w:t>习近平：在中央城市工作会议上的讲话</w:t>
      </w:r>
    </w:p>
    <w:p w14:paraId="341E9C2D">
      <w:pPr>
        <w:jc w:val="center"/>
        <w:rPr>
          <w:rFonts w:ascii="宋体" w:hAnsi="宋体" w:cs="宋体"/>
          <w:b/>
          <w:bCs/>
          <w:kern w:val="0"/>
          <w:sz w:val="32"/>
          <w:szCs w:val="32"/>
        </w:rPr>
      </w:pPr>
    </w:p>
    <w:p w14:paraId="6E037AEB">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时隔10年，党中央再次召开城市工作会议，主要是总结新时代以来我国城市发展成就，分析城市工作面临的形势，对当前和今后一个时期城市工作作出部署。</w:t>
      </w:r>
    </w:p>
    <w:p w14:paraId="520C6B8A">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党的十八大以来，党中央深刻把握新形势下我国城市发展规律，坚持党对城市工作的全面领导，坚持人民城市人民建、人民城市为人民，坚持把城市作为有机生命体系统谋划，推动城市发展取得历史性成就。一是新型城镇化水平和城市发展能级大幅提升。城镇化率稳步提高，城市群和都市圈发展壮大，有力带动了经济社会发展和人民生活改善。雄安新区拔地而起。我国城市综合实力持续增强。二是城市规划建设治理水平大幅提升。“多规合一”改革纵深推进，城市治理效能不断增强，盲目扩张“摊大饼”问题有效遏制，“大城市病”明显缓解。三是城市宜业宜居水平大幅提升。城市基础设施迭代升级，公共服务功能逐步完善，安全韧性水平整体提高，建成世界规模最大的城市住房保障体系。四是城市历史文化保护传承水平大幅提升。有力扭转历史文化遗产屡遭破坏的状况，城市文化品位和底蕴特色进一步彰显，城市文明程度持续提高。五是城市生态环境质量大幅提升。空气质量显著改善，重污染天数明显减少，绿地、公园面积持续增加，城市天更蓝、水更清、环境更优美。这些成就值得充分肯定。</w:t>
      </w:r>
    </w:p>
    <w:p w14:paraId="03306F04">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同时，我国城市发展也面临一些新情况新问题：城市老龄化少子化、区域人口增减分化特征明显，人口结构快速变化； “土地财政”难以为继；城市部分房屋和基础设施老化，安全稳定风险增多，治理难度加大。总的看，我国城镇化正从快速增长期转向稳定发展期，城市发展正从大规模增量扩张阶段转向存量提质增效为主的阶段。对这些重大变化，要深刻把握、主动适应。</w:t>
      </w:r>
    </w:p>
    <w:p w14:paraId="724879D3">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当前和今后一个时期城市工作的总体要求是：以新时代中国特色社会主义思想为指导，深入贯彻党的二十大和二十届二中、三中全会精神，坚持和加强党的全面领导，认真践行人民城市理念，坚持稳中求进工作总基调，坚持因地制宜、分类指导，以建设创新、宜居、美丽、韧性、文明、智慧的现代化人民城市为目标，以推动城市高质量发展为主题，以坚持城市内涵式发展为主线，以推进城市更新为重要抓手，大力推动城市结构优化、动能转换、品质提升、绿色转型、文脉赓续、治理增效，牢牢守住城市安全底线，走出一条中国特色城市现代化新路子。</w:t>
      </w:r>
    </w:p>
    <w:p w14:paraId="7AA64490">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落实这一总体要求，关键在于坚持城市内涵式发展，切实把握好几个重要原则。一是转变城市发展理念，更加注重以人为本。把实现人民群众对美好生活向往作为城市工作的出发点和落脚点，努力建设现代化人民城市，扎实推进全体人民共同富裕，促进人的全面发展。二是转变城市发展方式，更加注重集约高效。优化城市功能结构和空间布局，提升资源和空间集约节约利用水平，实现绿色低碳智慧发展。三是转变城市发展动力，更加注重特色发展。根据各自资源禀赋，加强科技和文化赋能，打造核心竞争力，实现错位发展，不搞同质化竞争。四是转变城市工作重心，更加注重治理投入。打破“重建设、轻治理”的传统思维和习惯做法，推动城市高质量更新、高水平运营、高效能治理。五是转变城市工作方法，更加注重统筹协调。系统谋划生产、生活、生态、文化、安全等各方面工作，加强跨部门跨层级跨区域协调联动，使政府、市场、社会、市民更好形成合力。</w:t>
      </w:r>
    </w:p>
    <w:p w14:paraId="6A570C2C">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关于城市工作的重点任务，我在2015年的中央城市工作会议上讲了“一个尊重、五个统筹”，这些都要继续抓好落实。下面，我再强调几个问题。</w:t>
      </w:r>
    </w:p>
    <w:p w14:paraId="7EFFCC89">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第一，着力优化现代化城市体系。优化现代化城市体系，首先要着眼于提高城市对人口和经济社会发展的综合承载能力，发展组团式、网络化的现代化城市群和都市圈。把京津冀、长三角、粤港澳大湾区城市群打造成世界级城市群，推动成渝、长江中游城市群等成为高质量发展增长极，增强中西部和东北的城市群、都市圈对区域协调发展的支撑作用。城市群内，要加强产业链协作，构建跨行政区合作发展新机制；城市群之间，要优化产业分工和空间联系。对于都市圈，有条件的地方可以推进同城化发展，促进通勤便捷高效、产业梯次配套、公共服务便利共享。</w:t>
      </w:r>
    </w:p>
    <w:p w14:paraId="2836AE8D">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优化现代化城市体系，必须促进大中小城市和小城镇协调发展。要推动超大特大城市“强身健体”，做强做精核心功能，控制超大城市规模，合理有序疏解非核心功能，打造高质量发展主引擎。要分类推进以县城为重要载体的城镇化建设，统筹规划建设城乡基础设施和公共服务体系，促进城乡融合发展。对经济规模大、人口增长快的县级市和特大镇，适时调整扩大经济社会管理权限。对人口持续流出的城市和资源型城市，持续推动转型发展。要继续推进农业转移人口市民化，努力推动城镇基本公共服务覆盖全部常住人口。推进城镇化是一个循序渐进、水到渠成的过程，必须符合经济社会发展规律，保持历史耐心，不能脱离实际、急于求成。</w:t>
      </w:r>
    </w:p>
    <w:p w14:paraId="7D486116">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第二，着力建设富有活力的创新城市。推动城市高质量发展，必须把创新作为第一动力。要坚持因城施策，立足城市资源禀赋和基础条件，精心培育创新生态，激发创新创业活力。加强原始创新和关键核心技术攻关，强化科技创新与产业创新协同，统筹推进传统产业改造升级、新兴产业培育壮大、未来产业布局建设，在发展新质生产力上不断取得突破。</w:t>
      </w:r>
    </w:p>
    <w:p w14:paraId="4F74ADD2">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过去城市增量扩张时期形成的政策制度，很多已不适应形势发展需要，要以改革的思路调整优化。要高质量开展城市更新，推进土地混合开发利用、用途合理转换，有效推动城市低效土地再开发，推动各类产业园区改造提升。要创新财政金融政策工具，吸引和规范社会资金参与，稳慎推进公用事业价格改革，建立可持续的城市建设运营投融资体系。健全地方债务管理长效机制、防范化解地方政府隐性债务风险等工作，中央已有明确部署，要认真抓好落实。</w:t>
      </w:r>
    </w:p>
    <w:p w14:paraId="72CF0C2E">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要充分发挥城市在国内国际双循环中的枢纽作用，不断提升开放合作水平。部分超大特大城市要增强对全球高端生产要素的配置能力。要结合高质量共建“一带一路”，建设一批国际门户枢纽城市和区域性开放节点城市。要完善海外引进人才支持保障机制，提升入境游便利化国际化水平，增强城市国际交往功能。</w:t>
      </w:r>
    </w:p>
    <w:p w14:paraId="2C9AE4F2">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第三，着力建设舒适便利的宜居城市。宜居是践行人民城市理念的基本要求。要坚持人口、产业、城镇、交通一体规划，建设创新型产业社区、商务社区，逐步破除传统的产业、居住、商业等功能分隔模式。高效利用城市地下空间，着力优化城市空间结构。完善通勤、换乘交通设施系统，加强停车位、充电桩等便民设施建设，形成现代化综合交通运输体系。</w:t>
      </w:r>
    </w:p>
    <w:p w14:paraId="175BCB3D">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住房品质关乎千家万户的幸福感。要加快构建房地产发展新模式，多为广大市民建设安全、舒适、绿色、智慧的“好房子”，更好满足群众刚性和多样化改善性住房需求，稳步推进城中村和危旧房改造。要集约节约利用资源，加强监管，决不允许违法违规建设豪华别墅、“私家庄园”。</w:t>
      </w:r>
    </w:p>
    <w:p w14:paraId="2194A070">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能否提供优质的公共服务，是衡量城市宜居程度的一个重要指标。要适应人口和需求结构变化，大力发展健康、家政等生活性服务业，完善城市商业布局。要高度关注“一老一小”，健全养老服务体系，发展托幼一体服务，提高婚育水平。要加强教育资源前瞻性布局。要实施医疗卫生强基工程，加强紧密型医联体建设，保障基层医疗机构运行，让优质医疗卫生资源更加贴近群众。要加强社会保障和分层分类社会救助，牢牢兜住民生底线。</w:t>
      </w:r>
    </w:p>
    <w:p w14:paraId="516D4F5F">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第四，着力建设绿色低碳的美丽城市。这些年，我们坚持打好蓝天、碧水、净土保卫战，大气、水、土壤污染治理取得明显成效。同时，城市噪声污染、餐饮油烟、建筑垃圾私拉乱倒等问题仍然比较突出。要巩固已有成效，抓紧治理新的问题。特别是在推进城市空气治理提质工程、加强饮用水源地保护、加强抗生素和微塑料等新污染物治理等方面，要采取更主动、更有效的措施。</w:t>
      </w:r>
    </w:p>
    <w:p w14:paraId="2127FBAA">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城市生态是一个有机整体，降碳减污扩绿协同增效至关重要。要推进能源、管网、交通等基础设施绿色低碳改造，大力发展绿色产业、绿色建筑、绿色交通、绿色消费、绿色社区，积极开展低碳城市建设。垃圾分类、“光盘行动”等要持续推进，不能紧一阵松一阵。要以自然为美，保持山水脉络和自然风貌，保护城市河湖水系、湿地和水环境，合理打造生态公园等城市景观。要提升城市生物多样性。</w:t>
      </w:r>
    </w:p>
    <w:p w14:paraId="5613BEA4">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第五，着力建设安全可靠的韧性城市。城市人口、资源、经济社会活动高度密集，安全风险也相对集中，必须树牢安全发展理念，不断提高安全韧性水平。要推进城市基础设施生命线安全工程建设，加快老旧管线改造升级，推动地下综合管廊建设改造，构建多水源保障和分布式能源系统。强化城市自然灾害防治，统筹城市防洪体系和内涝治理。要严格限制超高层建筑，增强高空消防能力，全面提升房屋安全保障水平。要加强“平急两用”公共基础设施建设，构建总量充足、布局合理的应急避难场所体系。</w:t>
      </w:r>
    </w:p>
    <w:p w14:paraId="05D287C4">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提高城市管理“软件”韧性同样很重要。要把风险防控有机嵌入城市管理系统，构建城市安全风险谱系，健全常态化风险隐患监测预警、排查整治机制。要科学制定巨灾应急预案，加强应急指挥、处置和救援体系建设。</w:t>
      </w:r>
    </w:p>
    <w:p w14:paraId="4C9A10D2">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第六，着力建设崇德向善的文明城市。现代化人民城市应当是物质文明和精神文明相协调的城市，建设过程中要植根中华优秀传统文化，彰显中国气质、中国风范。要强化城市规划的管控和引导作用，做到功能复合、密度适中、高低错落、蓝绿交织。要完善历史文化保护传承体系，重视保护城市独特的历史文脉、人文地理、自然景观。完善城市风貌管理制度，提升审美品位。像大规模迁移砍伐树木、滥建文化地标、随意更改老地名那样的事，决不能再干了。建筑是城市最直观的“面孔”，要加强建筑设计管理，让我国城市建筑更加体现中华美学和时代风尚。</w:t>
      </w:r>
    </w:p>
    <w:p w14:paraId="1F7BFD0E">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要重视城市文化软实力建设，积极培育城市文明，塑造城市精神。大力弘扬社会主义核心价值观，坚持不懈以文润心、以文化人，推动形成与现代化人民城市相适应的思想观念、文明风尚、行为规范，提高市民文明素质。积极发展文化事业、文化产业，推动文旅深度融合。</w:t>
      </w:r>
    </w:p>
    <w:p w14:paraId="480E6F96">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第七，着力建设便捷高效的智慧城市。城市发展既要抓好建设又要抓好治理，要坚持以城市居民需求为导向，顺应数智化趋势，创新治理理念、模式、手段，强化科技支撑，不断提升城市治理智慧化精细化水平。</w:t>
      </w:r>
    </w:p>
    <w:p w14:paraId="08617F49">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这些年，我们在城市治理上倡导下“绣花功夫”，积累了不少经验，要坚持和运用好。要坚持党建引领，加强新兴领域党建工作，做好新就业群体服务管理。调动人民群众参与城市治理的积极性、主动性、创造性。突出抓基层、强基础、固根本，推动城市治理重心和配套资源下沉。坚持和发展新时代“枫桥经验”，用好市民服务热线等机制，高效解决群众急难愁盼问题。坚持依法治市，不断提高城市治理法治化水平。</w:t>
      </w:r>
    </w:p>
    <w:p w14:paraId="17DBB1D7">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建设现代化人民城市，必须加强党对城市工作的全面领导。要进一步健全领导体制和工作机制，增强城市政策协同性，强化各方面执行力。树立和践行正确政绩观，建立健全科学的城市发展评价体系，激励广大党员、干部干事创业、担当作为。加强城市工作干部队伍素质和能力建设，着力培养城市规划、建设、治理等各类专业人才。坚持实事求是、求真务实，坚决反对形式主义、官僚主义。</w:t>
      </w:r>
    </w:p>
    <w:p w14:paraId="35004DA9">
      <w:pPr>
        <w:pStyle w:val="7"/>
        <w:widowControl/>
        <w:spacing w:before="0" w:beforeAutospacing="0" w:after="0" w:afterAutospacing="0" w:line="520" w:lineRule="exact"/>
        <w:ind w:firstLine="560" w:firstLineChars="200"/>
        <w:jc w:val="both"/>
        <w:rPr>
          <w:rFonts w:ascii="宋体" w:hAnsi="宋体" w:cs="宋体"/>
          <w:sz w:val="28"/>
          <w:szCs w:val="28"/>
        </w:rPr>
      </w:pPr>
      <w:r>
        <w:rPr>
          <w:rFonts w:hint="eastAsia" w:ascii="宋体" w:hAnsi="宋体" w:cs="宋体"/>
          <w:sz w:val="28"/>
          <w:szCs w:val="28"/>
        </w:rPr>
        <w:t>同志们！做好新时代新征程的城市工作，使命光荣、责任重大。希望大家勇于担当、奋发进取，在推动城市高质量发展、建设现代化人民城市上不断取得新成效，为以中国式现代化全面推进强国建设、民族复兴伟业作出新贡献！</w:t>
      </w:r>
    </w:p>
    <w:p w14:paraId="13195F68">
      <w:pPr>
        <w:spacing w:line="520" w:lineRule="exact"/>
        <w:ind w:firstLine="560" w:firstLineChars="200"/>
        <w:jc w:val="right"/>
        <w:rPr>
          <w:rFonts w:ascii="楷体" w:hAnsi="楷体" w:eastAsia="楷体" w:cs="楷体"/>
          <w:sz w:val="28"/>
          <w:szCs w:val="28"/>
        </w:rPr>
      </w:pPr>
      <w:r>
        <w:rPr>
          <w:rFonts w:hint="eastAsia" w:ascii="楷体" w:hAnsi="楷体" w:eastAsia="楷体" w:cs="楷体"/>
          <w:sz w:val="28"/>
          <w:szCs w:val="28"/>
        </w:rPr>
        <w:t>（来源：2026-01-15 来源：《求是》2026年第2期）</w:t>
      </w:r>
    </w:p>
    <w:p w14:paraId="339875B1">
      <w:pPr>
        <w:rPr>
          <w:rFonts w:ascii="微软雅黑" w:hAnsi="微软雅黑" w:eastAsia="微软雅黑" w:cs="微软雅黑"/>
          <w:b/>
          <w:bCs/>
          <w:color w:val="262626"/>
          <w:sz w:val="28"/>
          <w:szCs w:val="28"/>
          <w:shd w:val="clear" w:color="auto" w:fill="FFFFFF"/>
        </w:rPr>
      </w:pPr>
    </w:p>
    <w:p w14:paraId="5D8EFE19">
      <w:pPr>
        <w:rPr>
          <w:rFonts w:ascii="微软雅黑" w:hAnsi="微软雅黑" w:eastAsia="微软雅黑" w:cs="微软雅黑"/>
          <w:b/>
          <w:bCs/>
          <w:color w:val="262626"/>
          <w:sz w:val="28"/>
          <w:szCs w:val="28"/>
          <w:shd w:val="clear" w:color="auto" w:fill="FFFFFF"/>
        </w:rPr>
      </w:pPr>
    </w:p>
    <w:p w14:paraId="566036D7">
      <w:pPr>
        <w:rPr>
          <w:rFonts w:ascii="微软雅黑" w:hAnsi="微软雅黑" w:eastAsia="微软雅黑" w:cs="微软雅黑"/>
          <w:b/>
          <w:bCs/>
          <w:color w:val="262626"/>
          <w:sz w:val="28"/>
          <w:szCs w:val="28"/>
          <w:shd w:val="clear" w:color="auto" w:fill="FFFFFF"/>
        </w:rPr>
      </w:pPr>
    </w:p>
    <w:p w14:paraId="7F557457">
      <w:pPr>
        <w:rPr>
          <w:rFonts w:ascii="微软雅黑" w:hAnsi="微软雅黑" w:eastAsia="微软雅黑" w:cs="微软雅黑"/>
          <w:b/>
          <w:bCs/>
          <w:color w:val="262626"/>
          <w:sz w:val="28"/>
          <w:szCs w:val="28"/>
          <w:shd w:val="clear" w:color="auto" w:fill="FFFFFF"/>
        </w:rPr>
      </w:pPr>
    </w:p>
    <w:p w14:paraId="05C11D4A">
      <w:pPr>
        <w:rPr>
          <w:rFonts w:ascii="微软雅黑" w:hAnsi="微软雅黑" w:eastAsia="微软雅黑" w:cs="微软雅黑"/>
          <w:b/>
          <w:bCs/>
          <w:color w:val="262626"/>
          <w:sz w:val="28"/>
          <w:szCs w:val="28"/>
          <w:shd w:val="clear" w:color="auto" w:fill="FFFFFF"/>
        </w:rPr>
      </w:pPr>
    </w:p>
    <w:p w14:paraId="148CDE93">
      <w:pPr>
        <w:rPr>
          <w:rFonts w:ascii="微软雅黑" w:hAnsi="微软雅黑" w:eastAsia="微软雅黑" w:cs="微软雅黑"/>
          <w:b/>
          <w:bCs/>
          <w:color w:val="262626"/>
          <w:sz w:val="28"/>
          <w:szCs w:val="28"/>
          <w:shd w:val="clear" w:color="auto" w:fill="FFFFFF"/>
        </w:rPr>
      </w:pPr>
    </w:p>
    <w:p w14:paraId="22B94150">
      <w:pPr>
        <w:rPr>
          <w:rFonts w:ascii="微软雅黑" w:hAnsi="微软雅黑" w:eastAsia="微软雅黑" w:cs="微软雅黑"/>
          <w:b/>
          <w:bCs/>
          <w:color w:val="262626"/>
          <w:sz w:val="28"/>
          <w:szCs w:val="28"/>
          <w:shd w:val="clear" w:color="auto" w:fill="FFFFFF"/>
        </w:rPr>
      </w:pPr>
    </w:p>
    <w:p w14:paraId="094E4A2C">
      <w:pPr>
        <w:rPr>
          <w:rFonts w:ascii="微软雅黑" w:hAnsi="微软雅黑" w:eastAsia="微软雅黑" w:cs="微软雅黑"/>
          <w:b/>
          <w:bCs/>
          <w:color w:val="262626"/>
          <w:sz w:val="28"/>
          <w:szCs w:val="28"/>
          <w:shd w:val="clear" w:color="auto" w:fill="FFFFFF"/>
        </w:rPr>
      </w:pPr>
    </w:p>
    <w:p w14:paraId="60EC66DC">
      <w:pPr>
        <w:rPr>
          <w:rFonts w:ascii="微软雅黑" w:hAnsi="微软雅黑" w:eastAsia="微软雅黑" w:cs="微软雅黑"/>
          <w:b/>
          <w:bCs/>
          <w:color w:val="262626"/>
          <w:sz w:val="28"/>
          <w:szCs w:val="28"/>
          <w:shd w:val="clear" w:color="auto" w:fill="FFFFFF"/>
        </w:rPr>
      </w:pPr>
    </w:p>
    <w:p w14:paraId="73A9F8FF">
      <w:pPr>
        <w:rPr>
          <w:rFonts w:ascii="微软雅黑" w:hAnsi="微软雅黑" w:eastAsia="微软雅黑" w:cs="微软雅黑"/>
          <w:b/>
          <w:bCs/>
          <w:color w:val="262626"/>
          <w:sz w:val="28"/>
          <w:szCs w:val="28"/>
          <w:shd w:val="clear" w:color="auto" w:fill="FFFFFF"/>
        </w:rPr>
      </w:pPr>
    </w:p>
    <w:p w14:paraId="3F5797E7">
      <w:pPr>
        <w:rPr>
          <w:rFonts w:ascii="微软雅黑" w:hAnsi="微软雅黑" w:eastAsia="微软雅黑" w:cs="微软雅黑"/>
          <w:b/>
          <w:bCs/>
          <w:color w:val="262626"/>
          <w:sz w:val="28"/>
          <w:szCs w:val="28"/>
          <w:shd w:val="clear" w:color="auto" w:fill="FFFFFF"/>
        </w:rPr>
      </w:pPr>
    </w:p>
    <w:p w14:paraId="4DEECF3F">
      <w:pPr>
        <w:rPr>
          <w:rFonts w:ascii="微软雅黑" w:hAnsi="微软雅黑" w:eastAsia="微软雅黑" w:cs="微软雅黑"/>
          <w:b/>
          <w:bCs/>
          <w:color w:val="262626"/>
          <w:sz w:val="28"/>
          <w:szCs w:val="28"/>
          <w:shd w:val="clear" w:color="auto" w:fill="FFFFFF"/>
        </w:rPr>
      </w:pPr>
    </w:p>
    <w:p w14:paraId="3EBAA9D3">
      <w:pPr>
        <w:pStyle w:val="7"/>
        <w:widowControl/>
        <w:shd w:val="clear" w:color="auto" w:fill="FFFFFF"/>
        <w:spacing w:before="0" w:beforeAutospacing="0" w:after="0" w:afterAutospacing="0" w:line="540" w:lineRule="exact"/>
        <w:jc w:val="both"/>
        <w:rPr>
          <w:rFonts w:ascii="宋体" w:hAnsi="宋体" w:cs="宋体"/>
          <w:b/>
          <w:bCs/>
          <w:sz w:val="32"/>
          <w:szCs w:val="32"/>
        </w:rPr>
      </w:pPr>
    </w:p>
    <w:p w14:paraId="64B4223C">
      <w:pPr>
        <w:pStyle w:val="7"/>
        <w:widowControl/>
        <w:shd w:val="clear" w:color="auto" w:fill="FFFFFF"/>
        <w:spacing w:before="0" w:beforeAutospacing="0" w:after="0" w:afterAutospacing="0" w:line="540" w:lineRule="exact"/>
        <w:jc w:val="center"/>
        <w:rPr>
          <w:rFonts w:ascii="宋体" w:hAnsi="宋体" w:cs="宋体"/>
          <w:b/>
          <w:bCs/>
          <w:sz w:val="28"/>
          <w:szCs w:val="28"/>
        </w:rPr>
      </w:pPr>
      <w:r>
        <w:rPr>
          <w:rFonts w:ascii="宋体" w:hAnsi="宋体" w:cs="宋体"/>
          <w:b/>
          <w:bCs/>
          <w:sz w:val="28"/>
          <w:szCs w:val="28"/>
        </w:rPr>
        <w:t>习近平在省部级主要领导干部学习贯彻党的二十届四中全会精神</w:t>
      </w:r>
    </w:p>
    <w:p w14:paraId="65F1650A">
      <w:pPr>
        <w:pStyle w:val="7"/>
        <w:widowControl/>
        <w:shd w:val="clear" w:color="auto" w:fill="FFFFFF"/>
        <w:spacing w:before="0" w:beforeAutospacing="0" w:after="0" w:afterAutospacing="0" w:line="540" w:lineRule="exact"/>
        <w:jc w:val="center"/>
        <w:rPr>
          <w:rFonts w:ascii="宋体" w:hAnsi="宋体" w:cs="宋体"/>
          <w:b/>
          <w:bCs/>
          <w:sz w:val="28"/>
          <w:szCs w:val="28"/>
        </w:rPr>
      </w:pPr>
      <w:r>
        <w:rPr>
          <w:rFonts w:ascii="宋体" w:hAnsi="宋体" w:cs="宋体"/>
          <w:b/>
          <w:bCs/>
          <w:sz w:val="28"/>
          <w:szCs w:val="28"/>
        </w:rPr>
        <w:t>专题研讨班开班式上发表重要讲话强调</w:t>
      </w:r>
    </w:p>
    <w:p w14:paraId="51DE2153">
      <w:pPr>
        <w:pStyle w:val="7"/>
        <w:widowControl/>
        <w:shd w:val="clear" w:color="auto" w:fill="FFFFFF"/>
        <w:spacing w:before="0" w:beforeAutospacing="0" w:after="0" w:afterAutospacing="0" w:line="540" w:lineRule="exact"/>
        <w:jc w:val="center"/>
        <w:rPr>
          <w:rFonts w:ascii="宋体" w:hAnsi="宋体" w:cs="宋体"/>
          <w:b/>
          <w:bCs/>
          <w:sz w:val="28"/>
          <w:szCs w:val="28"/>
        </w:rPr>
      </w:pPr>
      <w:r>
        <w:rPr>
          <w:rFonts w:ascii="宋体" w:hAnsi="宋体" w:cs="宋体"/>
          <w:b/>
          <w:bCs/>
          <w:sz w:val="28"/>
          <w:szCs w:val="28"/>
        </w:rPr>
        <w:t>深入学习贯彻党的二十届四中全会精神</w:t>
      </w:r>
    </w:p>
    <w:p w14:paraId="51B6F0A7">
      <w:pPr>
        <w:pStyle w:val="7"/>
        <w:widowControl/>
        <w:shd w:val="clear" w:color="auto" w:fill="FFFFFF"/>
        <w:spacing w:before="0" w:beforeAutospacing="0" w:after="0" w:afterAutospacing="0" w:line="540" w:lineRule="exact"/>
        <w:jc w:val="center"/>
        <w:rPr>
          <w:rFonts w:ascii="宋体" w:hAnsi="宋体" w:cs="宋体"/>
          <w:b/>
          <w:bCs/>
          <w:sz w:val="28"/>
          <w:szCs w:val="28"/>
        </w:rPr>
      </w:pPr>
      <w:r>
        <w:rPr>
          <w:rFonts w:ascii="宋体" w:hAnsi="宋体" w:cs="宋体"/>
          <w:b/>
          <w:bCs/>
          <w:sz w:val="28"/>
          <w:szCs w:val="28"/>
        </w:rPr>
        <w:t>努力实现“十五五”良好开局</w:t>
      </w:r>
    </w:p>
    <w:p w14:paraId="0DF539D7">
      <w:pPr>
        <w:pStyle w:val="7"/>
        <w:widowControl/>
        <w:shd w:val="clear" w:color="auto" w:fill="FFFFFF"/>
        <w:spacing w:before="0" w:beforeAutospacing="0" w:after="0" w:afterAutospacing="0" w:line="540" w:lineRule="exact"/>
        <w:ind w:firstLine="562" w:firstLineChars="200"/>
        <w:jc w:val="center"/>
        <w:rPr>
          <w:rFonts w:ascii="宋体" w:hAnsi="宋体" w:cs="宋体"/>
          <w:b/>
          <w:bCs/>
          <w:sz w:val="28"/>
          <w:szCs w:val="28"/>
        </w:rPr>
      </w:pPr>
      <w:r>
        <w:rPr>
          <w:rFonts w:ascii="宋体" w:hAnsi="宋体" w:cs="宋体"/>
          <w:b/>
          <w:bCs/>
          <w:sz w:val="28"/>
          <w:szCs w:val="28"/>
        </w:rPr>
        <w:t>李强主持 赵乐际王沪宁蔡奇丁薛祥李希韩正出席</w:t>
      </w:r>
    </w:p>
    <w:p w14:paraId="06D03FB5">
      <w:pPr>
        <w:pStyle w:val="7"/>
        <w:widowControl/>
        <w:shd w:val="clear" w:color="auto" w:fill="FFFFFF"/>
        <w:spacing w:before="0" w:beforeAutospacing="0" w:after="0" w:afterAutospacing="0" w:line="540" w:lineRule="exact"/>
        <w:ind w:firstLine="562" w:firstLineChars="200"/>
        <w:jc w:val="center"/>
        <w:rPr>
          <w:rFonts w:ascii="宋体" w:hAnsi="宋体" w:cs="宋体"/>
          <w:b/>
          <w:bCs/>
          <w:sz w:val="28"/>
          <w:szCs w:val="28"/>
        </w:rPr>
      </w:pPr>
    </w:p>
    <w:p w14:paraId="12FE087D">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新华社北京1月20日电 省部级主要领导干部学习贯彻党的二十届四中全会精神专题研讨班20日上午在中央党校（国家行政学院）开班。中共中央总书记、国家主席、中央军委主席习近平在开班式上发表重要讲话强调，要把学习贯彻党的二十届四中全会精神不断引向深入，更好统一思想、凝心聚力，在党中央坚强领导下扎实做好各项工作，努力实现“十五五”良好开局。</w:t>
      </w:r>
    </w:p>
    <w:p w14:paraId="5B1EEC1C">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中共中央政治局常委李强主持开班式，中共中央政治局常委赵乐际、王沪宁、蔡奇、丁薛祥、李希，国家副主席韩正出席开班式。</w:t>
      </w:r>
    </w:p>
    <w:p w14:paraId="47E47CC5">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习近平指出，制定和实施五年规划是我们党治国理政一条重要经验，是中国特色社会主义制度一个重要政治优势，有利于实现党的领导，有利于集中力量办大事，有利于前瞻性把握战略问题，有利于保持事业连续性。在制定实施五年规划的长期实践中，我们党创造积累了丰富经验，包括坚持党中央集中统一领导，坚持从实际出发，坚持全国一盘棋，坚持发扬民主、集思广益，坚持规划法定原则等。我们要坚定制度自信，不断结合新的实际把这一优势发扬光大。</w:t>
      </w:r>
    </w:p>
    <w:p w14:paraId="330F4BE5">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习近平强调，党的二十届四中全会对“十五五”时期经济社会发展作出战略部署，要全面深刻准确领会和把握。全面，就是要以全局视野领会全会精神，将各项部署作为一个整体来把握，不能顾此失彼。深刻，就是要知其然又知其所以然，既明白是什么，又明白为什么、怎么做，真正理解透彻。准确，就是要精准把握政策界限和尺度，做到该为的必须为、能为的努力为、不该为的决不为。</w:t>
      </w:r>
    </w:p>
    <w:p w14:paraId="0A58DDB0">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习近平指出，我国发展处于战略机遇和风险挑战并存、不确定难预料因素增多的时期。我们分析形势，既要把各种因素考虑周全，又要善于把握其中一些关键因素如国际形势、新一轮科技革命和产业变革等的新变化。要胸怀全局、登高望远，在战略上保持定力，在战术上精心运筹，不断增强我国发展的确定性和可持续性。</w:t>
      </w:r>
    </w:p>
    <w:p w14:paraId="42225150">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习近平强调，建设现代化产业体系、实现产业体系整体跃升，是“十五五”时期的重要战略任务。各地区各行业要找准定位，坚持智能化、绿色化、融合化方向，发挥比较优势，形成上下游产业相互衔接、各展其长、同向发力的生动局面。要保持制造业合理比重，大力发展先进制造业。因地制宜发展新质生产力，推动科技创新和产业创新深度融合。要建设现代化基础设施。</w:t>
      </w:r>
    </w:p>
    <w:p w14:paraId="18942B94">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习近平指出，我国人口多、市场大、产业全、发展动能强，有条件加快构建新发展格局。要坚持以国内大循环为主体，正确处理消费和投资、需求和供给的关系，坚持惠民生和促消费、投资于物和投资于人紧密结合，努力提高国民经济循环质量和效率，让内需成为经济发展的主动力。要以做强国内大循环提升扩大高水平对外开放的自主性，以拓展国际循环增强国内改革发展的活力，努力实现内外联通、互促共进。</w:t>
      </w:r>
    </w:p>
    <w:p w14:paraId="79884C41">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习近平强调，经济发展和社会发展相辅相成，必须协调并进。要把改善民生作为促进社会发展的重点，在发展经济的同时稳步提高人民生活品质。要坚持党建引领，强化法治保障，夯实基层基础，切实提高社会治理水平。要统筹发展和安全，有效防范化解各类风险，切实维护国家安全和社会稳定。</w:t>
      </w:r>
    </w:p>
    <w:p w14:paraId="12E26A7F">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习近平指出，要坚持科学决策、民主决策、依法决策，编制好国家和地方“十五五”规划纲要及专项规划。地方规划和专项规划要与国家整体规划衔接好，体现国家整体规划的精神和要求，同时要因地因事制宜，把需要和可能统一起来，确保定了就做得到、能落地见效。</w:t>
      </w:r>
    </w:p>
    <w:p w14:paraId="054B362C">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习近平强调，顺利完成“十五五”时期目标任务，必须着力提高党领导经济社会发展能力和水平。各级干部特别是领导干部要进一步加强学习，钻研党的创新理论，提高专业素养，增强实干本领。要树立和践行正确政绩观，坚持从实际出发、按规律办事，自觉为人民出政绩、以实干出政绩。要大力弘扬斗争精神，勇于挺身而出、迎难而上，善于战风险、迎挑战、克难关。要保持反腐败高压态势，一步不停歇、半步不退让，一体推进不敢腐、不能腐、不想腐。</w:t>
      </w:r>
    </w:p>
    <w:p w14:paraId="69DEB20F">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李强在主持开班式时指出，习近平总书记的重要讲话高屋建瓴、立意深远、催人奋进，具有很强的政治性、理论性、针对性、指导性，对于全党特别是高级干部深刻认识“十四五”时期党和国家事业取得的重大成就，准确把握“十五五”时期经济社会发展的指导方针、主要目标、重点任务，保持战略定力，增强必胜信心，奋力开创中国式现代化建设新局面，具有十分重要的意义。要深刻理解总书记重要讲话的丰富内涵、精髓要义和实践要求，深刻领悟“两个确立”的决定性意义，坚决做到“两个维护”，自觉把思想和行动统一到总书记重要讲话精神和党中央决策部署上来。要学以致用、知行合一，把学习成果转化为实干实绩，推动高质量发展不断取得新成效。</w:t>
      </w:r>
    </w:p>
    <w:p w14:paraId="13DB073F">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中共中央政治局委员、中央书记处书记，中央军委副主席，全国人大常委会党员副委员长，国务委员，最高人民法院院长，最高人民检察院检察长，全国政协党员副主席出席开班式。</w:t>
      </w:r>
    </w:p>
    <w:p w14:paraId="3334BB0E">
      <w:pPr>
        <w:pStyle w:val="7"/>
        <w:widowControl/>
        <w:spacing w:before="0" w:beforeAutospacing="0" w:after="0" w:afterAutospacing="0" w:line="500" w:lineRule="exact"/>
        <w:ind w:firstLine="560" w:firstLineChars="200"/>
        <w:jc w:val="both"/>
        <w:rPr>
          <w:rFonts w:ascii="宋体" w:hAnsi="宋体" w:cs="宋体"/>
          <w:sz w:val="28"/>
          <w:szCs w:val="28"/>
        </w:rPr>
      </w:pPr>
      <w:r>
        <w:rPr>
          <w:rFonts w:hint="eastAsia" w:ascii="宋体" w:hAnsi="宋体" w:cs="宋体"/>
          <w:sz w:val="28"/>
          <w:szCs w:val="28"/>
        </w:rPr>
        <w:t>各省区市和新疆生产建设兵团、中央和国家机关有关部门、有关人民团体，中央管理的金融机构、企业、高校，解放军各单位和武警部队主要负责同志参加研讨班。各民主党派中央、全国工商联及有关方面负责同志列席开班式。</w:t>
      </w:r>
    </w:p>
    <w:p w14:paraId="65418A5E">
      <w:pPr>
        <w:pStyle w:val="7"/>
        <w:widowControl/>
        <w:spacing w:before="0" w:beforeAutospacing="0" w:after="0" w:afterAutospacing="0" w:line="480" w:lineRule="exact"/>
        <w:ind w:firstLine="4760" w:firstLineChars="1700"/>
        <w:jc w:val="both"/>
        <w:rPr>
          <w:rFonts w:ascii="楷体" w:hAnsi="楷体" w:eastAsia="楷体" w:cs="楷体"/>
          <w:sz w:val="28"/>
          <w:szCs w:val="28"/>
        </w:rPr>
      </w:pPr>
      <w:r>
        <w:rPr>
          <w:rFonts w:hint="eastAsia" w:ascii="楷体" w:hAnsi="楷体" w:eastAsia="楷体" w:cs="楷体"/>
          <w:sz w:val="28"/>
          <w:szCs w:val="28"/>
        </w:rPr>
        <w:t>（来源：新华网 202</w:t>
      </w:r>
      <w:r>
        <w:rPr>
          <w:rFonts w:hint="eastAsia" w:ascii="楷体" w:hAnsi="楷体" w:eastAsia="楷体" w:cs="楷体"/>
          <w:sz w:val="28"/>
          <w:szCs w:val="28"/>
          <w:lang w:val="en-US" w:eastAsia="zh-CN"/>
        </w:rPr>
        <w:t>6</w:t>
      </w:r>
      <w:r>
        <w:rPr>
          <w:rFonts w:hint="eastAsia" w:ascii="楷体" w:hAnsi="楷体" w:eastAsia="楷体" w:cs="楷体"/>
          <w:sz w:val="28"/>
          <w:szCs w:val="28"/>
        </w:rPr>
        <w:t>-1-20）</w:t>
      </w:r>
    </w:p>
    <w:p w14:paraId="64E43D2C">
      <w:pPr>
        <w:pStyle w:val="7"/>
        <w:widowControl/>
        <w:spacing w:before="0" w:beforeAutospacing="0" w:after="0" w:afterAutospacing="0" w:line="480" w:lineRule="exact"/>
        <w:ind w:firstLine="4760" w:firstLineChars="1700"/>
        <w:jc w:val="both"/>
        <w:rPr>
          <w:rFonts w:ascii="楷体" w:hAnsi="楷体" w:eastAsia="楷体" w:cs="楷体"/>
          <w:sz w:val="28"/>
          <w:szCs w:val="28"/>
        </w:rPr>
      </w:pPr>
    </w:p>
    <w:p w14:paraId="233E419D">
      <w:pPr>
        <w:pStyle w:val="7"/>
        <w:widowControl/>
        <w:shd w:val="clear" w:color="auto" w:fill="FFFFFF"/>
        <w:spacing w:before="0" w:beforeAutospacing="0" w:after="0" w:afterAutospacing="0" w:line="540" w:lineRule="exact"/>
        <w:ind w:firstLine="560" w:firstLineChars="200"/>
        <w:jc w:val="center"/>
        <w:rPr>
          <w:rFonts w:ascii="楷体" w:hAnsi="楷体" w:eastAsia="楷体" w:cs="楷体"/>
          <w:sz w:val="28"/>
          <w:szCs w:val="28"/>
        </w:rPr>
      </w:pPr>
    </w:p>
    <w:p w14:paraId="7234C37A">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r>
        <w:rPr>
          <w:rFonts w:hint="eastAsia" w:ascii="宋体" w:hAnsi="宋体" w:cs="宋体"/>
          <w:b/>
          <w:bCs/>
          <w:sz w:val="32"/>
          <w:szCs w:val="32"/>
        </w:rPr>
        <w:t>中共中央</w:t>
      </w:r>
      <w:r>
        <w:rPr>
          <w:rFonts w:hint="eastAsia" w:ascii="宋体" w:hAnsi="宋体" w:cs="宋体"/>
          <w:b/>
          <w:bCs/>
          <w:color w:val="auto"/>
          <w:sz w:val="32"/>
          <w:szCs w:val="32"/>
        </w:rPr>
        <w:t>政治局召开会议审议</w:t>
      </w:r>
    </w:p>
    <w:p w14:paraId="4BC51DBC">
      <w:pPr>
        <w:pStyle w:val="7"/>
        <w:widowControl/>
        <w:shd w:val="clear" w:color="auto" w:fill="FFFFFF"/>
        <w:spacing w:before="0" w:beforeAutospacing="0" w:after="0" w:afterAutospacing="0" w:line="540" w:lineRule="exact"/>
        <w:jc w:val="center"/>
        <w:rPr>
          <w:rFonts w:ascii="宋体" w:hAnsi="宋体" w:cs="宋体"/>
          <w:b/>
          <w:bCs/>
          <w:sz w:val="32"/>
          <w:szCs w:val="32"/>
        </w:rPr>
      </w:pPr>
      <w:r>
        <w:rPr>
          <w:rFonts w:hint="eastAsia" w:ascii="宋体" w:hAnsi="宋体" w:cs="宋体"/>
          <w:b/>
          <w:bCs/>
          <w:color w:val="auto"/>
          <w:sz w:val="32"/>
          <w:szCs w:val="32"/>
        </w:rPr>
        <w:t>《中央政治局常委会听取和研究全国人大常委会、国务院、全国政协、最高人民法院、最高人民检察</w:t>
      </w:r>
      <w:r>
        <w:rPr>
          <w:rFonts w:hint="eastAsia" w:ascii="宋体" w:hAnsi="宋体" w:cs="宋体"/>
          <w:b/>
          <w:bCs/>
          <w:sz w:val="32"/>
          <w:szCs w:val="32"/>
        </w:rPr>
        <w:t>院党组工作汇报</w:t>
      </w:r>
    </w:p>
    <w:p w14:paraId="5E12D536">
      <w:pPr>
        <w:pStyle w:val="7"/>
        <w:widowControl/>
        <w:shd w:val="clear" w:color="auto" w:fill="FFFFFF"/>
        <w:spacing w:before="0" w:beforeAutospacing="0" w:after="0" w:afterAutospacing="0" w:line="540" w:lineRule="exact"/>
        <w:jc w:val="center"/>
        <w:rPr>
          <w:rFonts w:ascii="宋体" w:hAnsi="宋体" w:cs="宋体"/>
          <w:b/>
          <w:bCs/>
          <w:sz w:val="32"/>
          <w:szCs w:val="32"/>
        </w:rPr>
      </w:pPr>
      <w:r>
        <w:rPr>
          <w:rFonts w:hint="eastAsia" w:ascii="宋体" w:hAnsi="宋体" w:cs="宋体"/>
          <w:b/>
          <w:bCs/>
          <w:sz w:val="32"/>
          <w:szCs w:val="32"/>
        </w:rPr>
        <w:t>和中央书记处工作报告的综合情况报告》</w:t>
      </w:r>
    </w:p>
    <w:p w14:paraId="19CCAE3F">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r>
        <w:rPr>
          <w:rFonts w:hint="eastAsia" w:ascii="宋体" w:hAnsi="宋体" w:cs="宋体"/>
          <w:b/>
          <w:bCs/>
          <w:sz w:val="32"/>
          <w:szCs w:val="32"/>
        </w:rPr>
        <w:t>中共中央总书记习近平主持会议</w:t>
      </w:r>
    </w:p>
    <w:p w14:paraId="65CD5283">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p>
    <w:p w14:paraId="6435256A">
      <w:pPr>
        <w:spacing w:line="560" w:lineRule="exact"/>
        <w:ind w:firstLine="560" w:firstLineChars="200"/>
        <w:rPr>
          <w:rFonts w:ascii="宋体" w:hAnsi="宋体" w:cs="宋体"/>
          <w:kern w:val="0"/>
          <w:sz w:val="28"/>
          <w:szCs w:val="28"/>
        </w:rPr>
      </w:pPr>
      <w:r>
        <w:rPr>
          <w:rFonts w:hint="eastAsia" w:ascii="宋体" w:hAnsi="宋体" w:cs="宋体"/>
          <w:kern w:val="0"/>
          <w:sz w:val="28"/>
          <w:szCs w:val="28"/>
        </w:rPr>
        <w:t>新华社北京1月30日电 中共中央政治局1月30日召开会议，审议《中央政治局常委会听取和研究全国人大常委会、国务院、全国政协、最高人民法院、最高人民检察院党组工作汇报和中央书记处工作报告的综合情况报告》。中共中央总书记习近平主持会议。</w:t>
      </w:r>
    </w:p>
    <w:p w14:paraId="71CEA42C">
      <w:pPr>
        <w:spacing w:line="560" w:lineRule="exact"/>
        <w:ind w:firstLine="560" w:firstLineChars="200"/>
        <w:rPr>
          <w:rFonts w:ascii="宋体" w:hAnsi="宋体" w:cs="宋体"/>
          <w:kern w:val="0"/>
          <w:sz w:val="28"/>
          <w:szCs w:val="28"/>
        </w:rPr>
      </w:pPr>
      <w:r>
        <w:rPr>
          <w:rFonts w:hint="eastAsia" w:ascii="宋体" w:hAnsi="宋体" w:cs="宋体"/>
          <w:kern w:val="0"/>
          <w:sz w:val="28"/>
          <w:szCs w:val="28"/>
        </w:rPr>
        <w:t>会议对全国人大常委会、国务院、全国政协、最高人民法院、最高人民检察院党组和中央书记处2025年的工作给予充分肯定，同意其2026年工作安排。会议认为，过去一年，5家党组坚持以习近平新时代中国特色社会主义思想为指导，坚定维护党中央权威和集中统一领导，认真贯彻落实党的二十大和二十届历次全会精神，紧紧围绕党和国家工作大局发挥职能作用，切实加强党组自身建设，为全年主要目标任务顺利完成、“十四五”圆满收官作出积极贡献。中央书记处在中央政治局、中央政治局常委会领导下，认真贯彻党中央决策部署，积极履职尽责，在完成党中央交办任务、加强党内法规制度建设、指导推动群团工作、整治形式主义为基层减负等方面做了大量工作。</w:t>
      </w:r>
    </w:p>
    <w:p w14:paraId="72648770">
      <w:pPr>
        <w:spacing w:line="560" w:lineRule="exact"/>
        <w:ind w:firstLine="560" w:firstLineChars="200"/>
        <w:rPr>
          <w:rFonts w:ascii="宋体" w:hAnsi="宋体" w:cs="宋体"/>
          <w:kern w:val="0"/>
          <w:sz w:val="28"/>
          <w:szCs w:val="28"/>
        </w:rPr>
      </w:pPr>
      <w:r>
        <w:rPr>
          <w:rFonts w:hint="eastAsia" w:ascii="宋体" w:hAnsi="宋体" w:cs="宋体"/>
          <w:kern w:val="0"/>
          <w:sz w:val="28"/>
          <w:szCs w:val="28"/>
        </w:rPr>
        <w:t>会议强调，今年是中国共产党成立105周年，是“十五五”开局之年。5家党组要以习近平新时代中国特色社会主义思想为指导，坚持党中央集中统一领导，不折不扣把党的二十届四中全会精神和党中央关于今年工作的决策部署落到实处。坚持稳中求进工作总基调，锚定“十五五”时期经济社会发展重大战略任务，努力实现良好开局。加强党组自身建设，认真履行全面从严治党主体责任，带头树立和践行正确政绩观。中央书记处要围绕中央政治局、中央政治局常委会部署要求，立足职责抓好重点任务落实，高质量完成党中央交办的各项任务。</w:t>
      </w:r>
    </w:p>
    <w:p w14:paraId="0578AA66">
      <w:pPr>
        <w:spacing w:line="560" w:lineRule="exact"/>
        <w:ind w:firstLine="560" w:firstLineChars="200"/>
        <w:rPr>
          <w:rFonts w:ascii="宋体" w:hAnsi="宋体" w:cs="宋体"/>
          <w:kern w:val="0"/>
          <w:sz w:val="28"/>
          <w:szCs w:val="28"/>
        </w:rPr>
      </w:pPr>
      <w:r>
        <w:rPr>
          <w:rFonts w:hint="eastAsia" w:ascii="宋体" w:hAnsi="宋体" w:cs="宋体"/>
          <w:kern w:val="0"/>
          <w:sz w:val="28"/>
          <w:szCs w:val="28"/>
        </w:rPr>
        <w:t>会议还研究了其他事项。</w:t>
      </w:r>
    </w:p>
    <w:p w14:paraId="044F0957">
      <w:pPr>
        <w:spacing w:line="560" w:lineRule="exact"/>
        <w:ind w:firstLine="560" w:firstLineChars="200"/>
        <w:jc w:val="right"/>
        <w:rPr>
          <w:rFonts w:ascii="楷体" w:hAnsi="楷体" w:eastAsia="楷体" w:cs="楷体"/>
          <w:sz w:val="28"/>
          <w:szCs w:val="28"/>
        </w:rPr>
      </w:pPr>
      <w:r>
        <w:rPr>
          <w:rFonts w:hint="eastAsia" w:ascii="楷体" w:hAnsi="楷体" w:eastAsia="楷体" w:cs="楷体"/>
          <w:sz w:val="28"/>
          <w:szCs w:val="28"/>
        </w:rPr>
        <w:t>（来源：“学习强国”学习平台 2026-01-30）</w:t>
      </w:r>
    </w:p>
    <w:p w14:paraId="3AE4C73B">
      <w:pPr>
        <w:rPr>
          <w:rFonts w:ascii="微软雅黑" w:hAnsi="微软雅黑" w:eastAsia="微软雅黑" w:cs="微软雅黑"/>
          <w:b/>
          <w:bCs/>
          <w:color w:val="262626"/>
          <w:sz w:val="28"/>
          <w:szCs w:val="28"/>
          <w:shd w:val="clear" w:color="auto" w:fill="FFFFFF"/>
        </w:rPr>
      </w:pPr>
    </w:p>
    <w:p w14:paraId="76C5E010">
      <w:pPr>
        <w:rPr>
          <w:rFonts w:ascii="微软雅黑" w:hAnsi="微软雅黑" w:eastAsia="微软雅黑" w:cs="微软雅黑"/>
          <w:b/>
          <w:bCs/>
          <w:color w:val="262626"/>
          <w:sz w:val="28"/>
          <w:szCs w:val="28"/>
          <w:shd w:val="clear" w:color="auto" w:fill="FFFFFF"/>
        </w:rPr>
      </w:pPr>
    </w:p>
    <w:p w14:paraId="143C7250">
      <w:pPr>
        <w:rPr>
          <w:rFonts w:ascii="微软雅黑" w:hAnsi="微软雅黑" w:eastAsia="微软雅黑" w:cs="微软雅黑"/>
          <w:b/>
          <w:bCs/>
          <w:color w:val="262626"/>
          <w:sz w:val="28"/>
          <w:szCs w:val="28"/>
          <w:shd w:val="clear" w:color="auto" w:fill="FFFFFF"/>
        </w:rPr>
      </w:pPr>
    </w:p>
    <w:p w14:paraId="66D58B99">
      <w:pPr>
        <w:rPr>
          <w:rFonts w:ascii="微软雅黑" w:hAnsi="微软雅黑" w:eastAsia="微软雅黑" w:cs="微软雅黑"/>
          <w:b/>
          <w:bCs/>
          <w:color w:val="262626"/>
          <w:sz w:val="28"/>
          <w:szCs w:val="28"/>
          <w:shd w:val="clear" w:color="auto" w:fill="FFFFFF"/>
        </w:rPr>
      </w:pPr>
    </w:p>
    <w:p w14:paraId="0F9AC9B5">
      <w:pPr>
        <w:rPr>
          <w:rFonts w:ascii="微软雅黑" w:hAnsi="微软雅黑" w:eastAsia="微软雅黑" w:cs="微软雅黑"/>
          <w:b/>
          <w:bCs/>
          <w:color w:val="262626"/>
          <w:sz w:val="28"/>
          <w:szCs w:val="28"/>
          <w:shd w:val="clear" w:color="auto" w:fill="FFFFFF"/>
        </w:rPr>
      </w:pPr>
    </w:p>
    <w:p w14:paraId="5553C801">
      <w:pPr>
        <w:rPr>
          <w:rFonts w:ascii="微软雅黑" w:hAnsi="微软雅黑" w:eastAsia="微软雅黑" w:cs="微软雅黑"/>
          <w:b/>
          <w:bCs/>
          <w:color w:val="262626"/>
          <w:sz w:val="28"/>
          <w:szCs w:val="28"/>
          <w:shd w:val="clear" w:color="auto" w:fill="FFFFFF"/>
        </w:rPr>
      </w:pPr>
    </w:p>
    <w:p w14:paraId="195EC742">
      <w:pPr>
        <w:rPr>
          <w:rFonts w:ascii="微软雅黑" w:hAnsi="微软雅黑" w:eastAsia="微软雅黑" w:cs="微软雅黑"/>
          <w:b/>
          <w:bCs/>
          <w:color w:val="262626"/>
          <w:sz w:val="28"/>
          <w:szCs w:val="28"/>
          <w:shd w:val="clear" w:color="auto" w:fill="FFFFFF"/>
        </w:rPr>
      </w:pPr>
    </w:p>
    <w:p w14:paraId="5F1F62AC">
      <w:pPr>
        <w:rPr>
          <w:rFonts w:ascii="微软雅黑" w:hAnsi="微软雅黑" w:eastAsia="微软雅黑" w:cs="微软雅黑"/>
          <w:b/>
          <w:bCs/>
          <w:color w:val="262626"/>
          <w:sz w:val="28"/>
          <w:szCs w:val="28"/>
          <w:shd w:val="clear" w:color="auto" w:fill="FFFFFF"/>
        </w:rPr>
      </w:pPr>
    </w:p>
    <w:p w14:paraId="1409AFAF">
      <w:pPr>
        <w:rPr>
          <w:rFonts w:ascii="微软雅黑" w:hAnsi="微软雅黑" w:eastAsia="微软雅黑" w:cs="微软雅黑"/>
          <w:b/>
          <w:bCs/>
          <w:color w:val="262626"/>
          <w:sz w:val="28"/>
          <w:szCs w:val="28"/>
          <w:shd w:val="clear" w:color="auto" w:fill="FFFFFF"/>
        </w:rPr>
      </w:pPr>
    </w:p>
    <w:p w14:paraId="25CACC54">
      <w:pPr>
        <w:rPr>
          <w:rFonts w:ascii="微软雅黑" w:hAnsi="微软雅黑" w:eastAsia="微软雅黑" w:cs="微软雅黑"/>
          <w:b/>
          <w:bCs/>
          <w:color w:val="262626"/>
          <w:sz w:val="28"/>
          <w:szCs w:val="28"/>
          <w:shd w:val="clear" w:color="auto" w:fill="FFFFFF"/>
        </w:rPr>
      </w:pPr>
    </w:p>
    <w:p w14:paraId="213C794F">
      <w:pPr>
        <w:rPr>
          <w:rFonts w:ascii="微软雅黑" w:hAnsi="微软雅黑" w:eastAsia="微软雅黑" w:cs="微软雅黑"/>
          <w:b/>
          <w:bCs/>
          <w:color w:val="262626"/>
          <w:sz w:val="28"/>
          <w:szCs w:val="28"/>
          <w:shd w:val="clear" w:color="auto" w:fill="FFFFFF"/>
        </w:rPr>
      </w:pPr>
    </w:p>
    <w:p w14:paraId="1121CA7C">
      <w:pPr>
        <w:rPr>
          <w:rFonts w:ascii="微软雅黑" w:hAnsi="微软雅黑" w:eastAsia="微软雅黑" w:cs="微软雅黑"/>
          <w:b/>
          <w:bCs/>
          <w:color w:val="262626"/>
          <w:sz w:val="28"/>
          <w:szCs w:val="28"/>
          <w:shd w:val="clear" w:color="auto" w:fill="FFFFFF"/>
        </w:rPr>
      </w:pPr>
    </w:p>
    <w:p w14:paraId="2278FF15">
      <w:pPr>
        <w:rPr>
          <w:rFonts w:ascii="微软雅黑" w:hAnsi="微软雅黑" w:eastAsia="微软雅黑" w:cs="微软雅黑"/>
          <w:b/>
          <w:bCs/>
          <w:color w:val="262626"/>
          <w:sz w:val="28"/>
          <w:szCs w:val="28"/>
          <w:shd w:val="clear" w:color="auto" w:fill="FFFFFF"/>
        </w:rPr>
      </w:pPr>
    </w:p>
    <w:p w14:paraId="112BAF68">
      <w:pPr>
        <w:rPr>
          <w:rFonts w:ascii="微软雅黑" w:hAnsi="微软雅黑" w:eastAsia="微软雅黑" w:cs="微软雅黑"/>
          <w:b/>
          <w:bCs/>
          <w:color w:val="262626"/>
          <w:sz w:val="28"/>
          <w:szCs w:val="28"/>
          <w:shd w:val="clear" w:color="auto" w:fill="FFFFFF"/>
        </w:rPr>
      </w:pPr>
    </w:p>
    <w:p w14:paraId="1908731C">
      <w:pPr>
        <w:rPr>
          <w:rFonts w:ascii="微软雅黑" w:hAnsi="微软雅黑" w:eastAsia="微软雅黑" w:cs="微软雅黑"/>
          <w:b/>
          <w:bCs/>
          <w:color w:val="262626"/>
          <w:sz w:val="28"/>
          <w:szCs w:val="28"/>
          <w:shd w:val="clear" w:color="auto" w:fill="FFFFFF"/>
        </w:rPr>
      </w:pPr>
    </w:p>
    <w:p w14:paraId="407DE07C">
      <w:pPr>
        <w:rPr>
          <w:rFonts w:ascii="微软雅黑" w:hAnsi="微软雅黑" w:eastAsia="微软雅黑" w:cs="微软雅黑"/>
          <w:b/>
          <w:bCs/>
          <w:color w:val="262626"/>
          <w:sz w:val="28"/>
          <w:szCs w:val="28"/>
          <w:shd w:val="clear" w:color="auto" w:fill="FFFFFF"/>
        </w:rPr>
      </w:pPr>
    </w:p>
    <w:p w14:paraId="3B2564BA">
      <w:pPr>
        <w:rPr>
          <w:rFonts w:ascii="微软雅黑" w:hAnsi="微软雅黑" w:eastAsia="微软雅黑" w:cs="微软雅黑"/>
          <w:b/>
          <w:bCs/>
          <w:color w:val="262626"/>
          <w:sz w:val="28"/>
          <w:szCs w:val="28"/>
          <w:shd w:val="clear" w:color="auto" w:fill="FFFFFF"/>
        </w:rPr>
      </w:pPr>
    </w:p>
    <w:p w14:paraId="1993692A">
      <w:pPr>
        <w:jc w:val="center"/>
        <w:rPr>
          <w:rFonts w:ascii="宋体" w:hAnsi="宋体" w:cs="宋体"/>
          <w:b/>
          <w:bCs/>
          <w:kern w:val="0"/>
          <w:sz w:val="32"/>
          <w:szCs w:val="32"/>
        </w:rPr>
      </w:pPr>
      <w:r>
        <w:rPr>
          <w:rFonts w:hint="eastAsia" w:ascii="宋体" w:hAnsi="宋体" w:cs="宋体"/>
          <w:b/>
          <w:bCs/>
          <w:kern w:val="0"/>
          <w:sz w:val="32"/>
          <w:szCs w:val="32"/>
        </w:rPr>
        <w:t>习近平：走好中国特色金融发展之路，建设金融强国</w:t>
      </w:r>
    </w:p>
    <w:p w14:paraId="114E624F">
      <w:pPr>
        <w:spacing w:line="520" w:lineRule="exact"/>
        <w:ind w:firstLine="562" w:firstLineChars="200"/>
        <w:jc w:val="center"/>
        <w:rPr>
          <w:rFonts w:ascii="宋体" w:hAnsi="宋体" w:cs="宋体"/>
          <w:b/>
          <w:bCs/>
          <w:kern w:val="0"/>
          <w:sz w:val="28"/>
          <w:szCs w:val="28"/>
        </w:rPr>
      </w:pPr>
      <w:r>
        <w:rPr>
          <w:rFonts w:hint="eastAsia" w:ascii="宋体" w:hAnsi="宋体" w:cs="宋体"/>
          <w:b/>
          <w:bCs/>
          <w:kern w:val="0"/>
          <w:sz w:val="28"/>
          <w:szCs w:val="28"/>
        </w:rPr>
        <w:t>一</w:t>
      </w:r>
    </w:p>
    <w:p w14:paraId="0CBEA4B0">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党的十八大以来，我们积极探索新时代金融发展规律，不断加深对中国特色社会主义金融本质的认识，不断推进金融实践创新、理论创新、制度创新，积累了宝贵经验，逐步走出一条中国特色金融发展之路。</w:t>
      </w:r>
    </w:p>
    <w:p w14:paraId="1CC9A1CE">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第一，坚持党中央对金融工作的集中统一领导。党的领导是中国特色金融发展之路最本质的特征，是我国金融发展最大的政治优势、制度优势。我国金融发展的重大成就，始终是在党的领导下取得的。而金融系统出现的许多问题，根源就在于金融领域不少单位贯彻党中央决策部署不力，落实党的领导弱化虚化，党的政治建设薄弱，党风廉政建设抓得不紧。因此，必须坚持党中央对金融工作的集中统一领导，发挥党总揽全局、协调各方的领导核心作用，确保金融工作始终沿着正确方向前进。</w:t>
      </w:r>
    </w:p>
    <w:p w14:paraId="1C90528A">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第二，坚持以人民为中心的价值取向。我们党领导的金融事业，归根到底要造福人民，与一些国家金融为资本服务、为少数有钱人服务的本质截然不同。新时代新征程，金融工作要站稳人民立场，增强服务的多样性、普惠性、可及性，更好保护金融消费者权益。</w:t>
      </w:r>
    </w:p>
    <w:p w14:paraId="1630E3F9">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第三，坚持把金融服务实体经济作为根本宗旨。实体经济是金融的根基，金融是实体经济的血脉，服务实体经济是金融的天职。如果热衷于自我循环、自我膨胀，金融就会变成无源之水、无本之木，迟早酿成危机。我国金融必须守好服务实体经济本分，推动高质量发展，决不能脱实向虚。</w:t>
      </w:r>
    </w:p>
    <w:p w14:paraId="63CD981E">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第四，坚持把防控风险作为金融工作的永恒主题。金融既有管理和分散风险的功能，又自带风险基因。我国金融体量和复杂程度今非昔比，风险的系统性关联性大大增强。必须增强忧患意识，做好风险防控，增强金融体系韧性。</w:t>
      </w:r>
    </w:p>
    <w:p w14:paraId="1CA20DD4">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第五，坚持在市场化法治化轨道上推进金融创新发展。金融的安全靠制度、活力在市场、秩序靠法治。金融交易涉及复杂多样的权利义务关系，具有信息不对称特征，对信用的要求非常高，必须有健全的监管制度。要建立完善的金融法律和市场规则体系，有禁必止，违法必究，保障金融市场健康运行。</w:t>
      </w:r>
    </w:p>
    <w:p w14:paraId="39876688">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第六，坚持深化金融供给侧结构性改革。我国金融体系的重要特征和优势是国有金融机构占主体，但存在间接融资和债权融资比重偏高、金融服务普惠性不足等问题，还存在金融泛化、乱办金融、大量非法金融活动。针对这些问题，要深化金融供给侧结构性改革，理顺间接融资与直接融资、股权融资与债权融资的关系，优化金融体系结构，完善金融基础设施，提高金融服务质量和效率。</w:t>
      </w:r>
    </w:p>
    <w:p w14:paraId="1B22BEB0">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第七，坚持统筹金融开放和安全。金融对外开放必须确保国家金融和经济安全，既要防范开放本身带来的风险，还要防范博弈对手蓄意制造的风险。要把握好开放的节奏和力度，切实提升金融监管能力，以更高水平风险防控保障更高水平金融开放。</w:t>
      </w:r>
    </w:p>
    <w:p w14:paraId="3730BAE5">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第八，坚持稳中求进工作总基调。金融工作要坚持稳中求进、以进促稳、先立后破。要稳字当头，宏观调控、金融发展、金融改革、金融监管、风险处置等都要稳，金融政策的收和放不能太急，防止大起大落。同时，要积极进取，把该立的抓紧立起来，在稳住阵脚、稳住基本态势中不断解决问题、不断前进。要坚持货币政策的稳健性，灵活运用多种政策工具，促进宏观经济平稳健康发展。</w:t>
      </w:r>
    </w:p>
    <w:p w14:paraId="608B45A8">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以上几条，明确了新时代新征程金融工作怎么看、怎么干，是体现中国特色金融发展之路基本立场、观点、方法的有机整体。中国特色金融发展之路既遵循现代金融发展的客观规律，更具有适合我国国情的鲜明特色，与西方金融模式有本质区别。我们要坚定自信，在实践中继续探索完善，使这条路越走越宽广。</w:t>
      </w:r>
    </w:p>
    <w:p w14:paraId="0A528963">
      <w:pPr>
        <w:spacing w:line="520" w:lineRule="exact"/>
        <w:ind w:firstLine="562" w:firstLineChars="200"/>
        <w:jc w:val="center"/>
        <w:rPr>
          <w:rFonts w:ascii="宋体" w:hAnsi="宋体" w:cs="宋体"/>
          <w:b/>
          <w:bCs/>
          <w:kern w:val="0"/>
          <w:sz w:val="28"/>
          <w:szCs w:val="28"/>
        </w:rPr>
      </w:pPr>
      <w:r>
        <w:rPr>
          <w:rFonts w:hint="eastAsia" w:ascii="宋体" w:hAnsi="宋体" w:cs="宋体"/>
          <w:b/>
          <w:bCs/>
          <w:kern w:val="0"/>
          <w:sz w:val="28"/>
          <w:szCs w:val="28"/>
        </w:rPr>
        <w:t>二</w:t>
      </w:r>
    </w:p>
    <w:p w14:paraId="45491BA4">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我在中央金融工作会议上提出了加快建设金融强国的目标。什么是金融强国？应当基于强大的经济基础，具有领先世界的经济实力、科技实力和综合国力，同时具备一系列关键核心金融要素。一是拥有强大的货币，在国际贸易投资和外汇市场广泛使用，具有全球储备货币地位。二是拥有强大的中央银行，有能力做好货币政策调控和宏观审慎管理、及时有效防范化解系统性风险。三是拥有强大的金融机构，运营效率高，抗风险能力强，门类齐全，具有全球布局能力和国际竞争力。四是拥有强大的国际金融中心，能够吸引全球投资者，影响国际定价体系。五是拥有强大的金融监管，金融法治健全，在国际金融规则制定中拥有强大话语权和影响力。六是拥有强大的金融人才队伍。我国虽然已是金融大国，银行体量、外汇储备等指标世界第一，债市、股市规模世界第二，保险规模也名列前茅，但总体上大而不强。建设金融强国需要长期努力，久久为功。</w:t>
      </w:r>
    </w:p>
    <w:p w14:paraId="00604661">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建设金融强国，必须加快构建中国特色现代金融体系。</w:t>
      </w:r>
    </w:p>
    <w:p w14:paraId="3F32036E">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一是科学稳健的金融调控体系。要建设现代中央银行制度，健全中国特色现代货币政策框架，完善基础货币投放和货币供应调控机制，发挥好货币信贷政策工具的总量和结构功能，有效维护人民币币值和经济金融稳定。</w:t>
      </w:r>
    </w:p>
    <w:p w14:paraId="5E136B4A">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二是结构合理的金融市场体系。要加快建设安全、规范、透明、开放、有活力、有韧性的资本市场。发展多层次股权市场，提高上市公司质量，深化常态化退市机制。发挥好创业投资、私募股权投资支持科技创新作用，强化债券市场、货币市场、外汇市场功能。</w:t>
      </w:r>
    </w:p>
    <w:p w14:paraId="65EA02E8">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三是分工协作的金融机构体系。我国金融机构门类齐全，关键是要错位发展、优势互补，在服务实体经济上各司其职、各展所长。各类金融机构都要坚守初心、回归本源，切实增强竞争力和服务能力，满足实体经济和人民群众多层次多样化金融服务需求。</w:t>
      </w:r>
    </w:p>
    <w:p w14:paraId="5E7280A8">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四是完备有效的金融监管体系。全面加强金融监管，强化机构监管、行为监管、功能监管、穿透式监管、持续监管，实现监管全覆盖，切实提高监管前瞻性、精准性、协同性、有效性，构建金融安全网。</w:t>
      </w:r>
    </w:p>
    <w:p w14:paraId="35C09112">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五是多样化专业性的金融产品和服务体系。加强对重大战略、重点领域、薄弱环节的优质金融服务，做好科技金融、绿色金融、普惠金融、养老金融、数字金融5篇大文章，加快金融数字化、智能化转型。</w:t>
      </w:r>
    </w:p>
    <w:p w14:paraId="337756A5">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六是自主可控、安全高效的金融基础设施体系。加强统筹规划，完善市场准入、监管标准和运营要求，提高关键金融基础设施自主水平和软硬件安全可靠性。</w:t>
      </w:r>
    </w:p>
    <w:p w14:paraId="01E3EA93">
      <w:pPr>
        <w:spacing w:line="520" w:lineRule="exact"/>
        <w:ind w:firstLine="562" w:firstLineChars="200"/>
        <w:jc w:val="center"/>
        <w:rPr>
          <w:rFonts w:ascii="宋体" w:hAnsi="宋体" w:cs="宋体"/>
          <w:b/>
          <w:bCs/>
          <w:kern w:val="0"/>
          <w:sz w:val="28"/>
          <w:szCs w:val="28"/>
        </w:rPr>
      </w:pPr>
      <w:r>
        <w:rPr>
          <w:rFonts w:hint="eastAsia" w:ascii="宋体" w:hAnsi="宋体" w:cs="宋体"/>
          <w:b/>
          <w:bCs/>
          <w:kern w:val="0"/>
          <w:sz w:val="28"/>
          <w:szCs w:val="28"/>
        </w:rPr>
        <w:t>三</w:t>
      </w:r>
    </w:p>
    <w:p w14:paraId="0092F04E">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推动金融高质量发展、建设金融强国，要坚持法治和德治相结合，大力弘扬中华优秀传统文化，积极培育中国特色金融文化。</w:t>
      </w:r>
    </w:p>
    <w:p w14:paraId="2E47439E">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一要诚实守信，不逾越底线。中华优秀传统文化强调重信守诺。金融行业以信用为基础，更要坚持契约精神，恪守市场规则和职业操守。要发扬“铁算盘、铁账本、铁规章”传统，始终不做假账。坚持欠债还钱，珍惜信誉，不当老赖。要加强行业自律，对严重失信者终身禁业。</w:t>
      </w:r>
    </w:p>
    <w:p w14:paraId="6DB95838">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二要以义取利，不唯利是图。中华优秀传统文化强调“先义而后利者荣，先利而后义者辱”，见利忘义一向为君子所不齿。金融具有功能性和盈利性双重属性，盈利要服从功能发挥。金融行业要履行好社会责任，实现金融与经济、社会、环境共生共荣。</w:t>
      </w:r>
    </w:p>
    <w:p w14:paraId="3C0DAA00">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三要稳健审慎，不急功近利。中华优秀传统文化强调“欲速则不达，见小利则大事不成”。国际上一些金融机构能够成为百年老店，基业长青，最重要的秘诀是稳健审慎。金融行业要树立正确的经营观、业绩观和风险观，稳健审慎经营，既看当下，更看长远，不贪图短期暴利，不急躁冒进，不超越承受能力而过度冒险。</w:t>
      </w:r>
    </w:p>
    <w:p w14:paraId="55C817A9">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四要守正创新，不脱实向虚。关键是解决好金融为谁服务、为什么创新问题，紧紧围绕更好服务实体经济、便利人民群众推动创新，不能搞伪创新、乱创新。</w:t>
      </w:r>
    </w:p>
    <w:p w14:paraId="67EA9E43">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五要依法合规，不胡作非为。金融运营特别讲究依法合规。金融机构和从业人员要严格遵纪守法，遵守金融监管要求，自觉在监管许可的范围内依法经营，不能靠钻法规和制度空子、规避监管来逐利，更不能撞红线、冲底线，游走于法外。</w:t>
      </w:r>
    </w:p>
    <w:p w14:paraId="326CE5EF">
      <w:pPr>
        <w:spacing w:line="520" w:lineRule="exact"/>
        <w:ind w:firstLine="560" w:firstLineChars="200"/>
        <w:rPr>
          <w:rFonts w:ascii="宋体" w:hAnsi="宋体" w:cs="宋体"/>
          <w:kern w:val="0"/>
          <w:sz w:val="28"/>
          <w:szCs w:val="28"/>
        </w:rPr>
      </w:pPr>
      <w:r>
        <w:rPr>
          <w:rFonts w:hint="eastAsia" w:ascii="宋体" w:hAnsi="宋体" w:cs="宋体"/>
          <w:kern w:val="0"/>
          <w:sz w:val="28"/>
          <w:szCs w:val="28"/>
        </w:rPr>
        <w:t>※这是习近平总书记2024年1月16日在省部级主要领导干部推动金融高质量发展专题研讨班上讲话的节录。</w:t>
      </w:r>
    </w:p>
    <w:p w14:paraId="648AE948">
      <w:pPr>
        <w:spacing w:line="520" w:lineRule="exact"/>
        <w:ind w:firstLine="560" w:firstLineChars="200"/>
        <w:jc w:val="right"/>
        <w:rPr>
          <w:rFonts w:ascii="楷体" w:hAnsi="楷体" w:eastAsia="楷体" w:cs="楷体"/>
          <w:sz w:val="28"/>
          <w:szCs w:val="28"/>
        </w:rPr>
      </w:pPr>
      <w:r>
        <w:rPr>
          <w:rFonts w:hint="eastAsia" w:ascii="楷体" w:hAnsi="楷体" w:eastAsia="楷体" w:cs="楷体"/>
          <w:sz w:val="28"/>
          <w:szCs w:val="28"/>
        </w:rPr>
        <w:t>（来源：《求是》2026年第3期 2026-01-31）</w:t>
      </w:r>
    </w:p>
    <w:p w14:paraId="2DDD7FD4">
      <w:pPr>
        <w:spacing w:line="520" w:lineRule="exact"/>
        <w:rPr>
          <w:rFonts w:ascii="微软雅黑" w:hAnsi="微软雅黑" w:eastAsia="微软雅黑" w:cs="微软雅黑"/>
          <w:b/>
          <w:bCs/>
          <w:color w:val="262626"/>
          <w:sz w:val="28"/>
          <w:szCs w:val="28"/>
          <w:shd w:val="clear" w:color="auto" w:fill="FFFFFF"/>
        </w:rPr>
      </w:pPr>
    </w:p>
    <w:p w14:paraId="77BB7773">
      <w:pPr>
        <w:rPr>
          <w:rFonts w:ascii="微软雅黑" w:hAnsi="微软雅黑" w:eastAsia="微软雅黑" w:cs="微软雅黑"/>
          <w:b/>
          <w:bCs/>
          <w:color w:val="262626"/>
          <w:sz w:val="28"/>
          <w:szCs w:val="28"/>
          <w:shd w:val="clear" w:color="auto" w:fill="FFFFFF"/>
        </w:rPr>
      </w:pPr>
    </w:p>
    <w:p w14:paraId="068E8A65">
      <w:pPr>
        <w:rPr>
          <w:rFonts w:ascii="微软雅黑" w:hAnsi="微软雅黑" w:eastAsia="微软雅黑" w:cs="微软雅黑"/>
          <w:b/>
          <w:bCs/>
          <w:color w:val="262626"/>
          <w:sz w:val="28"/>
          <w:szCs w:val="28"/>
          <w:shd w:val="clear" w:color="auto" w:fill="FFFFFF"/>
        </w:rPr>
      </w:pPr>
    </w:p>
    <w:p w14:paraId="771477B7">
      <w:pPr>
        <w:rPr>
          <w:rFonts w:ascii="微软雅黑" w:hAnsi="微软雅黑" w:eastAsia="微软雅黑" w:cs="微软雅黑"/>
          <w:b/>
          <w:bCs/>
          <w:color w:val="262626"/>
          <w:sz w:val="28"/>
          <w:szCs w:val="28"/>
          <w:shd w:val="clear" w:color="auto" w:fill="FFFFFF"/>
        </w:rPr>
      </w:pPr>
    </w:p>
    <w:p w14:paraId="76A01DC0">
      <w:pPr>
        <w:rPr>
          <w:rFonts w:ascii="微软雅黑" w:hAnsi="微软雅黑" w:eastAsia="微软雅黑" w:cs="微软雅黑"/>
          <w:b/>
          <w:bCs/>
          <w:color w:val="262626"/>
          <w:sz w:val="28"/>
          <w:szCs w:val="28"/>
          <w:shd w:val="clear" w:color="auto" w:fill="FFFFFF"/>
        </w:rPr>
      </w:pPr>
    </w:p>
    <w:p w14:paraId="2BE86515">
      <w:pPr>
        <w:rPr>
          <w:rFonts w:ascii="微软雅黑" w:hAnsi="微软雅黑" w:eastAsia="微软雅黑" w:cs="微软雅黑"/>
          <w:b/>
          <w:bCs/>
          <w:color w:val="262626"/>
          <w:sz w:val="28"/>
          <w:szCs w:val="28"/>
          <w:shd w:val="clear" w:color="auto" w:fill="FFFFFF"/>
        </w:rPr>
      </w:pPr>
    </w:p>
    <w:p w14:paraId="3E21D6FB">
      <w:pPr>
        <w:rPr>
          <w:rFonts w:ascii="微软雅黑" w:hAnsi="微软雅黑" w:eastAsia="微软雅黑" w:cs="微软雅黑"/>
          <w:b/>
          <w:bCs/>
          <w:color w:val="262626"/>
          <w:sz w:val="28"/>
          <w:szCs w:val="28"/>
          <w:shd w:val="clear" w:color="auto" w:fill="FFFFFF"/>
        </w:rPr>
      </w:pPr>
    </w:p>
    <w:p w14:paraId="528C386F">
      <w:pPr>
        <w:rPr>
          <w:rFonts w:ascii="微软雅黑" w:hAnsi="微软雅黑" w:eastAsia="微软雅黑" w:cs="微软雅黑"/>
          <w:b/>
          <w:bCs/>
          <w:color w:val="262626"/>
          <w:sz w:val="28"/>
          <w:szCs w:val="28"/>
          <w:shd w:val="clear" w:color="auto" w:fill="FFFFFF"/>
        </w:rPr>
      </w:pPr>
    </w:p>
    <w:p w14:paraId="3305C0B7">
      <w:pPr>
        <w:rPr>
          <w:rFonts w:ascii="微软雅黑" w:hAnsi="微软雅黑" w:eastAsia="微软雅黑" w:cs="微软雅黑"/>
          <w:b/>
          <w:bCs/>
          <w:color w:val="262626"/>
          <w:sz w:val="28"/>
          <w:szCs w:val="28"/>
          <w:shd w:val="clear" w:color="auto" w:fill="FFFFFF"/>
        </w:rPr>
      </w:pPr>
    </w:p>
    <w:p w14:paraId="0B636C8D">
      <w:pPr>
        <w:rPr>
          <w:rFonts w:ascii="微软雅黑" w:hAnsi="微软雅黑" w:eastAsia="微软雅黑" w:cs="微软雅黑"/>
          <w:b/>
          <w:bCs/>
          <w:color w:val="262626"/>
          <w:sz w:val="28"/>
          <w:szCs w:val="28"/>
          <w:shd w:val="clear" w:color="auto" w:fill="FFFFFF"/>
        </w:rPr>
      </w:pPr>
    </w:p>
    <w:p w14:paraId="6F7B40D0">
      <w:pPr>
        <w:pStyle w:val="7"/>
        <w:widowControl/>
        <w:shd w:val="clear" w:color="auto" w:fill="FFFFFF"/>
        <w:spacing w:before="0" w:beforeAutospacing="0" w:after="0" w:afterAutospacing="0" w:line="500" w:lineRule="exact"/>
        <w:ind w:firstLine="321" w:firstLineChars="100"/>
        <w:jc w:val="center"/>
        <w:rPr>
          <w:rFonts w:ascii="宋体" w:hAnsi="宋体" w:cs="宋体"/>
          <w:b/>
          <w:bCs/>
          <w:sz w:val="32"/>
          <w:szCs w:val="32"/>
        </w:rPr>
      </w:pPr>
    </w:p>
    <w:p w14:paraId="20E5E6D7">
      <w:pPr>
        <w:pStyle w:val="7"/>
        <w:widowControl/>
        <w:shd w:val="clear" w:color="auto" w:fill="FFFFFF"/>
        <w:spacing w:before="0" w:beforeAutospacing="0" w:after="0" w:afterAutospacing="0" w:line="500" w:lineRule="exact"/>
        <w:ind w:firstLine="321" w:firstLineChars="100"/>
        <w:jc w:val="center"/>
        <w:rPr>
          <w:rFonts w:hint="eastAsia" w:ascii="宋体" w:hAnsi="宋体" w:cs="宋体"/>
          <w:b/>
          <w:bCs/>
          <w:sz w:val="32"/>
          <w:szCs w:val="32"/>
        </w:rPr>
      </w:pPr>
    </w:p>
    <w:p w14:paraId="60E3DD34">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r>
        <w:rPr>
          <w:rFonts w:ascii="宋体" w:hAnsi="宋体" w:cs="宋体"/>
          <w:b/>
          <w:bCs/>
          <w:sz w:val="32"/>
          <w:szCs w:val="32"/>
        </w:rPr>
        <w:t>习近平在中共中央政治局第二十四次集体学习时强调</w:t>
      </w:r>
    </w:p>
    <w:p w14:paraId="08949B9B">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r>
        <w:rPr>
          <w:rFonts w:ascii="宋体" w:hAnsi="宋体" w:cs="宋体"/>
          <w:b/>
          <w:bCs/>
          <w:sz w:val="32"/>
          <w:szCs w:val="32"/>
        </w:rPr>
        <w:t>发挥比较优势 坚持稳中求进</w:t>
      </w:r>
    </w:p>
    <w:p w14:paraId="7D99DD00">
      <w:pPr>
        <w:pStyle w:val="7"/>
        <w:widowControl/>
        <w:shd w:val="clear" w:color="auto" w:fill="FFFFFF"/>
        <w:spacing w:before="0" w:beforeAutospacing="0" w:after="0" w:afterAutospacing="0" w:line="540" w:lineRule="exact"/>
        <w:ind w:firstLine="643" w:firstLineChars="200"/>
        <w:jc w:val="center"/>
        <w:rPr>
          <w:rFonts w:ascii="宋体" w:hAnsi="宋体" w:cs="宋体"/>
          <w:b/>
          <w:bCs/>
          <w:sz w:val="32"/>
          <w:szCs w:val="32"/>
        </w:rPr>
      </w:pPr>
      <w:r>
        <w:rPr>
          <w:rFonts w:ascii="宋体" w:hAnsi="宋体" w:cs="宋体"/>
          <w:b/>
          <w:bCs/>
          <w:sz w:val="32"/>
          <w:szCs w:val="32"/>
        </w:rPr>
        <w:t>推动我国未来产业发展不断取得新突破</w:t>
      </w:r>
    </w:p>
    <w:p w14:paraId="11A3B9F7">
      <w:pPr>
        <w:pStyle w:val="7"/>
        <w:widowControl/>
        <w:shd w:val="clear" w:color="auto" w:fill="FFFFFF"/>
        <w:spacing w:before="0" w:beforeAutospacing="0" w:after="0" w:afterAutospacing="0" w:line="500" w:lineRule="exact"/>
        <w:ind w:firstLine="321" w:firstLineChars="100"/>
        <w:jc w:val="center"/>
        <w:rPr>
          <w:rFonts w:ascii="宋体" w:hAnsi="宋体" w:cs="宋体"/>
          <w:b/>
          <w:bCs/>
          <w:sz w:val="32"/>
          <w:szCs w:val="32"/>
        </w:rPr>
      </w:pPr>
    </w:p>
    <w:p w14:paraId="576F3A13">
      <w:pPr>
        <w:pStyle w:val="7"/>
        <w:widowControl/>
        <w:shd w:val="clear" w:color="auto" w:fill="FFFFFF"/>
        <w:spacing w:before="0" w:beforeAutospacing="0" w:after="0" w:afterAutospacing="0" w:line="520" w:lineRule="exact"/>
        <w:ind w:firstLine="560" w:firstLineChars="200"/>
        <w:jc w:val="both"/>
        <w:rPr>
          <w:rFonts w:ascii="宋体" w:hAnsi="宋体" w:cs="宋体"/>
          <w:sz w:val="28"/>
          <w:szCs w:val="28"/>
        </w:rPr>
      </w:pPr>
      <w:r>
        <w:rPr>
          <w:rFonts w:ascii="宋体" w:hAnsi="宋体" w:cs="宋体"/>
          <w:sz w:val="28"/>
          <w:szCs w:val="28"/>
        </w:rPr>
        <w:t>新华社北京1月31日电 中共中央政治局1月30日下午就前瞻布局和发展未来产业进行第二十四次集体学习。中共中央总书记习近平在主持学习时强调，新一轮科技革命和产业变革加速演进，前沿技术不断涌现，引领和支撑未来产业快速崛起。要站在推进强国建设、民族复兴伟业的战略高度，立足客观条件，发挥比较优势，坚持稳中求进、梯度培育，推动我国未来产业发展不断取得新突破。</w:t>
      </w:r>
    </w:p>
    <w:p w14:paraId="7511921D">
      <w:pPr>
        <w:pStyle w:val="7"/>
        <w:widowControl/>
        <w:shd w:val="clear" w:color="auto" w:fill="FFFFFF"/>
        <w:spacing w:before="0" w:beforeAutospacing="0" w:after="0" w:afterAutospacing="0" w:line="520" w:lineRule="exact"/>
        <w:ind w:firstLine="560" w:firstLineChars="200"/>
        <w:jc w:val="both"/>
        <w:rPr>
          <w:rFonts w:ascii="宋体" w:hAnsi="宋体" w:cs="宋体"/>
          <w:sz w:val="28"/>
          <w:szCs w:val="28"/>
        </w:rPr>
      </w:pPr>
      <w:r>
        <w:rPr>
          <w:rFonts w:ascii="宋体" w:hAnsi="宋体" w:cs="宋体"/>
          <w:sz w:val="28"/>
          <w:szCs w:val="28"/>
        </w:rPr>
        <w:t>中国信息通信研究院余晓晖同志就这个问题进行讲解，提出工作建议。中央政治局的同志认真听取讲解，并进行了讨论。</w:t>
      </w:r>
    </w:p>
    <w:p w14:paraId="0591378B">
      <w:pPr>
        <w:pStyle w:val="7"/>
        <w:widowControl/>
        <w:shd w:val="clear" w:color="auto" w:fill="FFFFFF"/>
        <w:spacing w:before="0" w:beforeAutospacing="0" w:after="0" w:afterAutospacing="0" w:line="520" w:lineRule="exact"/>
        <w:ind w:firstLine="560" w:firstLineChars="200"/>
        <w:jc w:val="both"/>
        <w:rPr>
          <w:rFonts w:ascii="宋体" w:hAnsi="宋体" w:cs="宋体"/>
          <w:sz w:val="28"/>
          <w:szCs w:val="28"/>
        </w:rPr>
      </w:pPr>
      <w:r>
        <w:rPr>
          <w:rFonts w:ascii="宋体" w:hAnsi="宋体" w:cs="宋体"/>
          <w:sz w:val="28"/>
          <w:szCs w:val="28"/>
        </w:rPr>
        <w:t>习近平在听取讲解和讨论后发表重要讲话。他指出，培育发展未来产业，对于抢占科技和产业制高点、把握发展主动权，对于发展新质生产力、建设现代化产业体系，对于提高人民生活品质、促进人的全面发展和社会全面进步，都具有重要意义。近年来，党中央高度重视，强化政策支持，推动未来产业发展呈现良好势头。</w:t>
      </w:r>
    </w:p>
    <w:p w14:paraId="560DFB3B">
      <w:pPr>
        <w:pStyle w:val="7"/>
        <w:widowControl/>
        <w:shd w:val="clear" w:color="auto" w:fill="FFFFFF"/>
        <w:spacing w:before="0" w:beforeAutospacing="0" w:after="0" w:afterAutospacing="0" w:line="520" w:lineRule="exact"/>
        <w:ind w:firstLine="560" w:firstLineChars="200"/>
        <w:jc w:val="both"/>
        <w:rPr>
          <w:rFonts w:ascii="宋体" w:hAnsi="宋体" w:cs="宋体"/>
          <w:sz w:val="28"/>
          <w:szCs w:val="28"/>
        </w:rPr>
      </w:pPr>
      <w:r>
        <w:rPr>
          <w:rFonts w:ascii="宋体" w:hAnsi="宋体" w:cs="宋体"/>
          <w:sz w:val="28"/>
          <w:szCs w:val="28"/>
        </w:rPr>
        <w:t>习近平强调，未来产业具有前瞻性、战略性、颠覆性等特点，需要科学谋划、全局统筹。要聚焦“十五五”时期我国未来产业发展的主攻方向，科学论证技术路线，提升前沿技术战略预判能力。要综合考虑国家战略需求、技术成熟程度、要素支撑条件等因素，因地制宜、错位发展。要强化产业协同，推动未来产业同新兴产业、传统产业相得益彰。</w:t>
      </w:r>
    </w:p>
    <w:p w14:paraId="10A5ADD7">
      <w:pPr>
        <w:pStyle w:val="7"/>
        <w:widowControl/>
        <w:shd w:val="clear" w:color="auto" w:fill="FFFFFF"/>
        <w:spacing w:before="0" w:beforeAutospacing="0" w:after="0" w:afterAutospacing="0" w:line="520" w:lineRule="exact"/>
        <w:ind w:firstLine="560" w:firstLineChars="200"/>
        <w:jc w:val="both"/>
        <w:rPr>
          <w:rFonts w:ascii="宋体" w:hAnsi="宋体" w:cs="宋体"/>
          <w:sz w:val="28"/>
          <w:szCs w:val="28"/>
        </w:rPr>
      </w:pPr>
      <w:r>
        <w:rPr>
          <w:rFonts w:ascii="宋体" w:hAnsi="宋体" w:cs="宋体"/>
          <w:sz w:val="28"/>
          <w:szCs w:val="28"/>
        </w:rPr>
        <w:t>习近平指出，科技突破的程度，很大程度上决定未来产业发展的速度、广度、深度。要充分发挥新型举国体制优势，坚持“产业出题、科技答题”，加大重点领域关键核心技术攻关力度，加强基础研究战略性、前瞻性、体系化布局，加快科技成果转化应用。</w:t>
      </w:r>
    </w:p>
    <w:p w14:paraId="26E1C5F6">
      <w:pPr>
        <w:pStyle w:val="7"/>
        <w:widowControl/>
        <w:shd w:val="clear" w:color="auto" w:fill="FFFFFF"/>
        <w:spacing w:before="0" w:beforeAutospacing="0" w:after="0" w:afterAutospacing="0" w:line="520" w:lineRule="exact"/>
        <w:ind w:firstLine="560" w:firstLineChars="200"/>
        <w:jc w:val="both"/>
        <w:rPr>
          <w:rFonts w:ascii="宋体" w:hAnsi="宋体" w:cs="宋体"/>
          <w:sz w:val="28"/>
          <w:szCs w:val="28"/>
        </w:rPr>
      </w:pPr>
      <w:r>
        <w:rPr>
          <w:rFonts w:ascii="宋体" w:hAnsi="宋体" w:cs="宋体"/>
          <w:sz w:val="28"/>
          <w:szCs w:val="28"/>
        </w:rPr>
        <w:t>习近平强调，很多未来产业的兴起是靠企业一步步突破带动的。要发挥企业主体作用，推动各类创新资源向企业集聚，大力培育核心技术领先、创新能力强的科技领军企业和高新技术企业，引领带动产业向前沿和高端领域迈进。</w:t>
      </w:r>
    </w:p>
    <w:p w14:paraId="05B6A7A8">
      <w:pPr>
        <w:pStyle w:val="7"/>
        <w:widowControl/>
        <w:shd w:val="clear" w:color="auto" w:fill="FFFFFF"/>
        <w:spacing w:before="0" w:beforeAutospacing="0" w:after="0" w:afterAutospacing="0" w:line="520" w:lineRule="exact"/>
        <w:ind w:firstLine="560" w:firstLineChars="200"/>
        <w:jc w:val="both"/>
        <w:rPr>
          <w:rFonts w:ascii="宋体" w:hAnsi="宋体" w:cs="宋体"/>
          <w:sz w:val="28"/>
          <w:szCs w:val="28"/>
        </w:rPr>
      </w:pPr>
      <w:r>
        <w:rPr>
          <w:rFonts w:ascii="宋体" w:hAnsi="宋体" w:cs="宋体"/>
          <w:sz w:val="28"/>
          <w:szCs w:val="28"/>
        </w:rPr>
        <w:t>习近平指出，未来产业培育周期长、市场风险大，政策上要支持，政府要做好服务。要完善财税等政策，大力发展科技金融，全方位做好人才培养、引进、使用工作，在全社会营造鼓励创新的浓厚氛围。</w:t>
      </w:r>
    </w:p>
    <w:p w14:paraId="6D319D36">
      <w:pPr>
        <w:pStyle w:val="7"/>
        <w:widowControl/>
        <w:shd w:val="clear" w:color="auto" w:fill="FFFFFF"/>
        <w:spacing w:before="0" w:beforeAutospacing="0" w:after="0" w:afterAutospacing="0" w:line="520" w:lineRule="exact"/>
        <w:ind w:firstLine="560" w:firstLineChars="200"/>
        <w:jc w:val="both"/>
        <w:rPr>
          <w:rFonts w:ascii="宋体" w:hAnsi="宋体" w:cs="宋体"/>
          <w:sz w:val="28"/>
          <w:szCs w:val="28"/>
        </w:rPr>
      </w:pPr>
      <w:r>
        <w:rPr>
          <w:rFonts w:ascii="宋体" w:hAnsi="宋体" w:cs="宋体"/>
          <w:sz w:val="28"/>
          <w:szCs w:val="28"/>
        </w:rPr>
        <w:t>习近平强调，未来产业发展涉及面广，必须健全治理体系。要统筹发展和安全，探索科学有效的监管方式，防范相关风险，确保既“放得活”又“管得好”。要深化国际合作，积极推动各方标准共建、规则共商、产业共促。各级领导干部要加强科技前沿知识学习，努力做到知科技、懂产业、善决策。</w:t>
      </w:r>
    </w:p>
    <w:p w14:paraId="6CE32112">
      <w:pPr>
        <w:spacing w:line="520" w:lineRule="exact"/>
        <w:ind w:firstLine="560" w:firstLineChars="200"/>
        <w:jc w:val="right"/>
        <w:rPr>
          <w:rFonts w:ascii="宋体" w:hAnsi="宋体" w:cs="宋体"/>
          <w:b/>
          <w:bCs/>
          <w:sz w:val="32"/>
          <w:szCs w:val="32"/>
        </w:rPr>
      </w:pPr>
      <w:r>
        <w:rPr>
          <w:rFonts w:hint="eastAsia" w:ascii="楷体" w:hAnsi="楷体" w:eastAsia="楷体" w:cs="楷体"/>
          <w:sz w:val="28"/>
          <w:szCs w:val="28"/>
        </w:rPr>
        <w:t>（来源：新华网 2026-01-31）</w:t>
      </w:r>
    </w:p>
    <w:p w14:paraId="7482806E">
      <w:pPr>
        <w:spacing w:line="440" w:lineRule="exact"/>
        <w:rPr>
          <w:rFonts w:ascii="宋体" w:hAnsi="宋体" w:cs="宋体"/>
          <w:sz w:val="28"/>
          <w:szCs w:val="28"/>
        </w:rPr>
      </w:pPr>
      <w:r>
        <w:rPr>
          <w:rFonts w:hint="eastAsia" w:ascii="宋体" w:hAnsi="宋体" w:cs="宋体"/>
          <w:sz w:val="28"/>
          <w:szCs w:val="28"/>
        </w:rPr>
        <w:t xml:space="preserve"> </w:t>
      </w:r>
    </w:p>
    <w:sectPr>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C8C2C">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ECC7D">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664B7">
                          <w:pPr>
                            <w:pStyle w:val="5"/>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A4664B7">
                    <w:pPr>
                      <w:pStyle w:val="5"/>
                    </w:pPr>
                    <w:r>
                      <w:fldChar w:fldCharType="begin"/>
                    </w:r>
                    <w:r>
                      <w:instrText xml:space="preserve"> PAGE  \* MERGEFORMAT </w:instrText>
                    </w:r>
                    <w:r>
                      <w:fldChar w:fldCharType="separate"/>
                    </w:r>
                    <w:r>
                      <w:t>17</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D1B"/>
    <w:rsid w:val="00065609"/>
    <w:rsid w:val="00180074"/>
    <w:rsid w:val="001E4275"/>
    <w:rsid w:val="0026364D"/>
    <w:rsid w:val="002755CC"/>
    <w:rsid w:val="00373CF3"/>
    <w:rsid w:val="003E7D0E"/>
    <w:rsid w:val="004541E9"/>
    <w:rsid w:val="00477D3C"/>
    <w:rsid w:val="004876C2"/>
    <w:rsid w:val="00553BBE"/>
    <w:rsid w:val="00585913"/>
    <w:rsid w:val="005E7CC0"/>
    <w:rsid w:val="00627E18"/>
    <w:rsid w:val="00645275"/>
    <w:rsid w:val="0067142A"/>
    <w:rsid w:val="00712CF1"/>
    <w:rsid w:val="00720D95"/>
    <w:rsid w:val="00743AD7"/>
    <w:rsid w:val="007D6259"/>
    <w:rsid w:val="007F1A3E"/>
    <w:rsid w:val="00834310"/>
    <w:rsid w:val="00850C3E"/>
    <w:rsid w:val="008907E6"/>
    <w:rsid w:val="008C2176"/>
    <w:rsid w:val="008F59BE"/>
    <w:rsid w:val="00AA7FDF"/>
    <w:rsid w:val="00AE3C62"/>
    <w:rsid w:val="00B30E46"/>
    <w:rsid w:val="00B976CA"/>
    <w:rsid w:val="00C21913"/>
    <w:rsid w:val="00C40AC5"/>
    <w:rsid w:val="00C54616"/>
    <w:rsid w:val="00D025F1"/>
    <w:rsid w:val="00D760F6"/>
    <w:rsid w:val="00DE2D1B"/>
    <w:rsid w:val="00DF0974"/>
    <w:rsid w:val="00E5140C"/>
    <w:rsid w:val="00F61B36"/>
    <w:rsid w:val="00FC4346"/>
    <w:rsid w:val="00FD4103"/>
    <w:rsid w:val="014F32C7"/>
    <w:rsid w:val="01B451ED"/>
    <w:rsid w:val="020C40F2"/>
    <w:rsid w:val="0236558C"/>
    <w:rsid w:val="035C6585"/>
    <w:rsid w:val="03F2394C"/>
    <w:rsid w:val="06691B12"/>
    <w:rsid w:val="091361A6"/>
    <w:rsid w:val="09BC05EC"/>
    <w:rsid w:val="09BF1491"/>
    <w:rsid w:val="0A975A9B"/>
    <w:rsid w:val="0B41524D"/>
    <w:rsid w:val="0BCE17D5"/>
    <w:rsid w:val="0BD704F5"/>
    <w:rsid w:val="0DCF4D92"/>
    <w:rsid w:val="0E1F36F5"/>
    <w:rsid w:val="0E835B7C"/>
    <w:rsid w:val="10B22749"/>
    <w:rsid w:val="11A719CE"/>
    <w:rsid w:val="13345697"/>
    <w:rsid w:val="137C2C7B"/>
    <w:rsid w:val="15024206"/>
    <w:rsid w:val="184E6EB7"/>
    <w:rsid w:val="18C9062F"/>
    <w:rsid w:val="1B3C333B"/>
    <w:rsid w:val="1C7111A9"/>
    <w:rsid w:val="1D74768E"/>
    <w:rsid w:val="1DCA004F"/>
    <w:rsid w:val="1FB41730"/>
    <w:rsid w:val="1FCF5501"/>
    <w:rsid w:val="21631FBD"/>
    <w:rsid w:val="24B865DC"/>
    <w:rsid w:val="24CF6FCD"/>
    <w:rsid w:val="26FB7095"/>
    <w:rsid w:val="27320831"/>
    <w:rsid w:val="27457AAE"/>
    <w:rsid w:val="2750210E"/>
    <w:rsid w:val="27E60CEC"/>
    <w:rsid w:val="28003E99"/>
    <w:rsid w:val="28705EE0"/>
    <w:rsid w:val="28CA642A"/>
    <w:rsid w:val="28F7360E"/>
    <w:rsid w:val="29983E22"/>
    <w:rsid w:val="2BDB0430"/>
    <w:rsid w:val="2C251BC9"/>
    <w:rsid w:val="2D615418"/>
    <w:rsid w:val="2E2F6D2F"/>
    <w:rsid w:val="2EC31CEB"/>
    <w:rsid w:val="2F25260C"/>
    <w:rsid w:val="2FF373B3"/>
    <w:rsid w:val="30CE0611"/>
    <w:rsid w:val="30D935EA"/>
    <w:rsid w:val="31F51BC5"/>
    <w:rsid w:val="355908E3"/>
    <w:rsid w:val="357F67EE"/>
    <w:rsid w:val="379C2C15"/>
    <w:rsid w:val="37AA6032"/>
    <w:rsid w:val="38606463"/>
    <w:rsid w:val="386D1900"/>
    <w:rsid w:val="39A9025E"/>
    <w:rsid w:val="3A2D4A6A"/>
    <w:rsid w:val="3B781D15"/>
    <w:rsid w:val="3C402163"/>
    <w:rsid w:val="3DBF3863"/>
    <w:rsid w:val="3E00469B"/>
    <w:rsid w:val="3E2C3EFE"/>
    <w:rsid w:val="3F0D096E"/>
    <w:rsid w:val="3FDA68CC"/>
    <w:rsid w:val="401E041B"/>
    <w:rsid w:val="40B97058"/>
    <w:rsid w:val="42C6780A"/>
    <w:rsid w:val="431E13F4"/>
    <w:rsid w:val="44307631"/>
    <w:rsid w:val="4477010F"/>
    <w:rsid w:val="46601D24"/>
    <w:rsid w:val="46E62A38"/>
    <w:rsid w:val="47174AD8"/>
    <w:rsid w:val="471C7F42"/>
    <w:rsid w:val="48315726"/>
    <w:rsid w:val="4AC373C8"/>
    <w:rsid w:val="4BC12B0C"/>
    <w:rsid w:val="4E1210B6"/>
    <w:rsid w:val="4F396E5C"/>
    <w:rsid w:val="4FEA6A7C"/>
    <w:rsid w:val="51F577C4"/>
    <w:rsid w:val="53AD7D9F"/>
    <w:rsid w:val="555F460E"/>
    <w:rsid w:val="55A41C2D"/>
    <w:rsid w:val="57064221"/>
    <w:rsid w:val="57803FD4"/>
    <w:rsid w:val="589342FA"/>
    <w:rsid w:val="59617E35"/>
    <w:rsid w:val="59A246D5"/>
    <w:rsid w:val="5B843E3C"/>
    <w:rsid w:val="5BBE331C"/>
    <w:rsid w:val="5C537F09"/>
    <w:rsid w:val="6155027F"/>
    <w:rsid w:val="6271541F"/>
    <w:rsid w:val="628737F1"/>
    <w:rsid w:val="62B54226"/>
    <w:rsid w:val="62F45876"/>
    <w:rsid w:val="63E02C32"/>
    <w:rsid w:val="65533A9F"/>
    <w:rsid w:val="66F044C9"/>
    <w:rsid w:val="68EC6697"/>
    <w:rsid w:val="6A292C42"/>
    <w:rsid w:val="6BF568E6"/>
    <w:rsid w:val="6C8323F2"/>
    <w:rsid w:val="6EAC5256"/>
    <w:rsid w:val="6F8E31A8"/>
    <w:rsid w:val="71A06DDA"/>
    <w:rsid w:val="71F40E52"/>
    <w:rsid w:val="754B44A9"/>
    <w:rsid w:val="75A20A8B"/>
    <w:rsid w:val="7640012D"/>
    <w:rsid w:val="781520BE"/>
    <w:rsid w:val="78685C4A"/>
    <w:rsid w:val="78A42AEE"/>
    <w:rsid w:val="79BD656A"/>
    <w:rsid w:val="79DA711C"/>
    <w:rsid w:val="7A49320B"/>
    <w:rsid w:val="7ADA447F"/>
    <w:rsid w:val="7BE50A41"/>
    <w:rsid w:val="7C3B56F9"/>
    <w:rsid w:val="7D641076"/>
    <w:rsid w:val="7F133EA6"/>
    <w:rsid w:val="7F5C05D3"/>
    <w:rsid w:val="7FB16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b/>
      <w:bCs/>
      <w:kern w:val="0"/>
      <w:sz w:val="36"/>
      <w:szCs w:val="36"/>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b/>
      <w:bCs/>
      <w:kern w:val="0"/>
      <w:sz w:val="27"/>
      <w:szCs w:val="27"/>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kern w:val="0"/>
      <w:sz w:val="24"/>
    </w:rPr>
  </w:style>
  <w:style w:type="character" w:styleId="10">
    <w:name w:val="Strong"/>
    <w:basedOn w:val="9"/>
    <w:qFormat/>
    <w:uiPriority w:val="0"/>
    <w:rPr>
      <w:b/>
    </w:rPr>
  </w:style>
  <w:style w:type="character" w:styleId="11">
    <w:name w:val="Emphasis"/>
    <w:qFormat/>
    <w:uiPriority w:val="0"/>
    <w:rPr>
      <w:i/>
    </w:rPr>
  </w:style>
  <w:style w:type="character" w:styleId="12">
    <w:name w:val="Hyperlink"/>
    <w:basedOn w:val="9"/>
    <w:qFormat/>
    <w:uiPriority w:val="0"/>
    <w:rPr>
      <w:color w:val="0000FF"/>
      <w:u w:val="single"/>
    </w:rPr>
  </w:style>
  <w:style w:type="paragraph" w:customStyle="1" w:styleId="13">
    <w:name w:val="text_align-center"/>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70ea5d56-8d9e-49a3-883e-5c377766bd7f</errorID>
      <errorWord>逆周期和跨周期调节</errorWord>
      <group>L1_Political</group>
      <groupName>政治性问题</groupName>
      <ability>L2_Keyword</ability>
      <abilityName>固定表述</abilityName>
      <candidateList>
        <item>跨周期和逆周期调节</item>
      </candidateList>
      <explain>词汇“跨周期和逆周期调节”在特定场景下为固定表述形式，请确认此处的“逆周期和跨周期调节”是否存在不当。</explain>
      <paraID>196869FA</paraID>
      <start>49</start>
      <end>58</end>
      <status>unmodified</status>
      <modifiedWord/>
      <trackRevisions>false</trackRevisions>
    </reviewItem>
    <reviewItem>
      <errorID>bb368070-7932-423a-9001-9376e9234ec9</errorID>
      <errorWord>作</errorWord>
      <group>L1_Word</group>
      <groupName>字词问题</groupName>
      <ability>L2_Typo</ability>
      <abilityName>字词错误</abilityName>
      <candidateList>
        <item>作要</item>
      </candidateList>
      <explain/>
      <paraID>4A53C94F</paraID>
      <start>10</start>
      <end>11</end>
      <status>unmodified</status>
      <modifiedWord/>
      <trackRevisions>false</trackRevisions>
    </reviewItem>
    <reviewItem>
      <errorID>2c85ee78-320c-4b9b-85f2-25dd8bbc581e</errorID>
      <errorWord>励</errorWord>
      <group>L1_Word</group>
      <groupName>字词问题</groupName>
      <ability>L2_Typo</ability>
      <abilityName>字词错误</abilityName>
      <candidateList>
        <item>励和</item>
      </candidateList>
      <explain/>
      <paraID>5D944D37</paraID>
      <start>52</start>
      <end>53</end>
      <status>unmodified</status>
      <modifiedWord/>
      <trackRevisions>false</trackRevisions>
    </reviewItem>
    <reviewItem>
      <errorID>34a9cb85-c684-4ca6-ac05-df69b8af9759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3F087C44</paraID>
      <start>179</start>
      <end>180</end>
      <status>unmodified</status>
      <modifiedWord/>
      <trackRevisions>false</trackRevisions>
    </reviewItem>
    <reviewItem>
      <errorID>2122b164-bc83-4227-8dcb-8c8d16491241</errorID>
      <errorWord>(</errorWord>
      <group>L1_Format</group>
      <groupName>格式问题</groupName>
      <ability>L2_HalfPunc</ability>
      <abilityName>全半角检查</abilityName>
      <candidateList>
        <item>（</item>
      </candidateList>
      <explain>文本全半角错误。</explain>
      <paraID>280E5A9F</paraID>
      <start>0</start>
      <end>1</end>
      <status>unmodified</status>
      <modifiedWord/>
      <trackRevisions>false</trackRevisions>
    </reviewItem>
    <reviewItem>
      <errorID>c18716cb-a6f5-4205-a3e1-4fd2aa1eb410</errorID>
      <errorWord>)</errorWord>
      <group>L1_Format</group>
      <groupName>格式问题</groupName>
      <ability>L2_HalfPunc</ability>
      <abilityName>全半角检查</abilityName>
      <candidateList>
        <item>）</item>
      </candidateList>
      <explain>文本全半角错误。</explain>
      <paraID>280E5A9F</paraID>
      <start>25</start>
      <end>26</end>
      <status>unmodified</status>
      <modifiedWord/>
      <trackRevisions>false</trackRevisions>
    </reviewItem>
    <reviewItem>
      <errorID>6736dc72-b8c1-4e00-9f75-17cf831045f6</errorID>
      <errorWord>，</errorWord>
      <group>L1_Word</group>
      <groupName>字词问题</groupName>
      <ability>L2_Typo</ability>
      <abilityName>字词错误</abilityName>
      <candidateList>
        <item>，也</item>
      </candidateList>
      <explain/>
      <paraID>5B50F929</paraID>
      <start>213</start>
      <end>214</end>
      <status>unmodified</status>
      <modifiedWord/>
      <trackRevisions>false</trackRevisions>
    </reviewItem>
    <reviewItem>
      <errorID>596f5c9f-28dd-441f-b54f-a8bfff4c2671</errorID>
      <errorWord>人民日益增长的美好生活的需要</errorWord>
      <group>L1_Political</group>
      <groupName>政治性问题</groupName>
      <ability>L2_Keyword</ability>
      <abilityName>固定表述</abilityName>
      <candidateList>
        <item>人民日益增长的美好生活需要</item>
      </candidateList>
      <explain>词汇“人民日益增长的美好生活需要”在特定场景下为固定表述形式，请确认此处的“人民日益增长的美好生活的需要”是否存在不当。</explain>
      <paraID>5B50F929</paraID>
      <start>237</start>
      <end>251</end>
      <status>unmodified</status>
      <modifiedWord/>
      <trackRevisions>false</trackRevisions>
    </reviewItem>
    <reviewItem>
      <errorID>b26ca0ed-0c9e-4adc-a291-1c83c5e66a88</errorID>
      <errorWord>扩大内需是战略</errorWord>
      <group>L1_Political</group>
      <groupName>政治性问题</groupName>
      <ability>L2_Keyword</ability>
      <abilityName>固定表述</abilityName>
      <candidateList>
        <item>扩大内需战略</item>
      </candidateList>
      <explain>词汇“扩大内需战略”在特定场景下为固定表述形式，请确认此处的“扩大内需是战略”是否存在不当。</explain>
      <paraID>52F84341</paraID>
      <start>30</start>
      <end>37</end>
      <status>unmodified</status>
      <modifiedWord/>
      <trackRevisions>false</trackRevisions>
    </reviewItem>
    <reviewItem>
      <errorID>094f5c3b-e281-4a6c-a815-9c3bff1ed816</errorID>
      <errorWord>(</errorWord>
      <group>L1_Format</group>
      <groupName>格式问题</groupName>
      <ability>L2_HalfPunc</ability>
      <abilityName>全半角检查</abilityName>
      <candidateList>
        <item>（</item>
      </candidateList>
      <explain>文本全半角错误。</explain>
      <paraID>695C6746</paraID>
      <start>0</start>
      <end>1</end>
      <status>unmodified</status>
      <modifiedWord/>
      <trackRevisions>false</trackRevisions>
    </reviewItem>
    <reviewItem>
      <errorID>67c03f1c-3049-49cd-9c1a-afd65306c08d</errorID>
      <errorWord>)</errorWord>
      <group>L1_Format</group>
      <groupName>格式问题</groupName>
      <ability>L2_HalfPunc</ability>
      <abilityName>全半角检查</abilityName>
      <candidateList>
        <item>）</item>
      </candidateList>
      <explain>文本全半角错误。</explain>
      <paraID>695C6746</paraID>
      <start>28</start>
      <end>29</end>
      <status>unmodified</status>
      <modifiedWord/>
      <trackRevisions>false</trackRevisions>
    </reviewItem>
    <reviewItem>
      <errorID>a61f8d26-789d-4c8d-aaf0-06517dfa32a3</errorID>
      <errorWord>更好服务</errorWord>
      <group>L1_Word</group>
      <groupName>字词问题</groupName>
      <ability>L2_Typo</ability>
      <abilityName>字词错误</abilityName>
      <candidateList>
        <item>更好地服务</item>
      </candidateList>
      <explain/>
      <paraID>6128E1AC</paraID>
      <start>8</start>
      <end>12</end>
      <status>unmodified</status>
      <modifiedWord/>
      <trackRevisions>false</trackRevisions>
    </reviewItem>
    <reviewItem>
      <errorID>5cb17c9f-d113-452e-b749-fc379f204bc2</errorID>
      <errorWord>更好服务</errorWord>
      <group>L1_Word</group>
      <groupName>字词问题</groupName>
      <ability>L2_Typo</ability>
      <abilityName>字词错误</abilityName>
      <candidateList>
        <item>更好地服务</item>
      </candidateList>
      <explain/>
      <paraID>25899A09</paraID>
      <start>28</start>
      <end>32</end>
      <status>unmodified</status>
      <modifiedWord/>
      <trackRevisions>false</trackRevisions>
    </reviewItem>
    <reviewItem>
      <errorID>885bb38a-ad7c-468c-973e-953818019ecd</errorID>
      <errorWord>作</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2056FA24</paraID>
      <start>7</start>
      <end>8</end>
      <status>unmodified</status>
      <modifiedWord/>
      <trackRevisions>false</trackRevisions>
    </reviewItem>
    <reviewItem>
      <errorID>3a20f8fd-788e-40d9-bf36-4353e537e5b5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2056FA24</paraID>
      <start>158</start>
      <end>161</end>
      <status>unmodified</status>
      <modifiedWord/>
      <trackRevisions>false</trackRevisions>
    </reviewItem>
    <reviewItem>
      <errorID>6200358f-7d67-433e-a071-5f6abb7abc51</errorID>
      <errorWord>完成，“十四五”</errorWord>
      <group>L1_Political</group>
      <groupName>政治性问题</groupName>
      <ability>L2_Keyword</ability>
      <abilityName>固定表述</abilityName>
      <candidateList>
        <item>完成“十四五”</item>
      </candidateList>
      <explain>注意检查当前固定表述标点是否使用规范。</explain>
      <paraID>36ED61C6</paraID>
      <start>82</start>
      <end>90</end>
      <status>unmodified</status>
      <modifiedWord/>
      <trackRevisions>false</trackRevisions>
    </reviewItem>
    <reviewItem>
      <errorID>ad51c7ee-1241-4d9a-9891-437136bcfccd</errorID>
      <errorWord>历史大势不可阻挡</errorWord>
      <group>L1_Political</group>
      <groupName>政治性问题</groupName>
      <ability>L2_Keyword</ability>
      <abilityName>固定表述</abilityName>
      <candidateList>
        <item>历史潮流不可阻挡</item>
      </candidateList>
      <explain>词汇“历史潮流不可阻挡”在特定场景下为固定表述形式，请确认此处的“历史大势不可阻挡”是否存在不当。</explain>
      <paraID>3160567C</paraID>
      <start>84</start>
      <end>92</end>
      <status>unmodified</status>
      <modifiedWord/>
      <trackRevisions>false</trackRevisions>
    </reviewItem>
    <reviewItem>
      <errorID>290f2823-8425-466b-b1a1-5e4d5bd8847e</errorID>
      <errorWord>生</errorWord>
      <group>L1_Word</group>
      <groupName>字词问题</groupName>
      <ability>L2_Typo</ability>
      <abilityName>字词错误</abilityName>
      <candidateList>
        <item>升</item>
      </candidateList>
      <explain/>
      <paraID>14543FA5</paraID>
      <start>41</start>
      <end>42</end>
      <status>unmodified</status>
      <modifiedWord/>
      <trackRevisions>false</trackRevisions>
    </reviewItem>
    <reviewItem>
      <errorID>99a224ac-8879-4090-8aae-9139f452037b</errorID>
      <errorWord>深刻</errorWord>
      <group>L1_Grammar</group>
      <groupName>语法问题</groupName>
      <ability>L2_Grammar</ability>
      <abilityName>语法错误</abilityName>
      <candidateList>
        <item>深入</item>
      </candidateList>
      <explain>“深刻～贯彻”搭配不当，建议修改为“深入～贯彻”。</explain>
      <paraID>3A48F6F7</paraID>
      <start>177</start>
      <end>179</end>
      <status>unmodified</status>
      <modifiedWord/>
      <trackRevisions>false</trackRevisions>
    </reviewItem>
    <reviewItem>
      <errorID>c6d8571c-d88e-4e26-bfcd-0163055805a2</errorID>
      <errorWord>开辟</errorWord>
      <group>L1_Word</group>
      <groupName>字词问题</groupName>
      <ability>L2_Typo</ability>
      <abilityName>字词错误</abilityName>
      <candidateList>
        <item>开拓</item>
      </candidateList>
      <explain>〈动〉❶开辟；扩展：～市场｜～处女地◇这一年短篇小说的创作道路～得更广阔了。❷采掘矿物前进行的修建巷道等工序的总称。</explain>
      <paraID>6E7882B0</paraID>
      <start>249</start>
      <end>251</end>
      <status>unmodified</status>
      <modifiedWord/>
      <trackRevisions>false</trackRevisions>
    </reviewItem>
    <reviewItem>
      <errorID>bafd32dd-79c6-4bc4-8f93-70855acbfa54</errorID>
      <errorWord>不忘初心，</errorWord>
      <group>L1_Punc</group>
      <groupName>标点问题</groupName>
      <ability>L2_Punc</ability>
      <abilityName>标点符号检查</abilityName>
      <candidateList>
        <item>不忘初心、</item>
      </candidateList>
      <explain/>
      <paraID>7DF8E9AF</paraID>
      <start>43</start>
      <end>48</end>
      <status>unmodified</status>
      <modifiedWord/>
      <trackRevisions>false</trackRevisions>
    </reviewItem>
    <reviewItem>
      <errorID>88213e99-4242-4078-bcd7-16240faa0ace</errorID>
      <errorWord>相联</errorWord>
      <group>L1_Word</group>
      <groupName>字词问题</groupName>
      <ability>L2_Typo</ability>
      <abilityName>字词错误</abilityName>
      <candidateList>
        <item>相连</item>
      </candidateList>
      <explain/>
      <paraID>75E112DD</paraID>
      <start>35</start>
      <end>37</end>
      <status>unmodified</status>
      <modifiedWord/>
      <trackRevisions>false</trackRevisions>
    </reviewItem>
    <reviewItem>
      <errorID>adc942f0-1c3c-4e5f-81fd-b413b92e5f1a</errorID>
      <errorWord>消极应对</errorWord>
      <group>L1_Knowledge</group>
      <groupName>知识性问题</groupName>
      <ability>L2_Idiom</ability>
      <abilityName>成语和诗歌</abilityName>
      <candidateList>
        <item>消极应付</item>
      </candidateList>
      <explain/>
      <paraID>75E112DD</paraID>
      <start>283</start>
      <end>287</end>
      <status>unmodified</status>
      <modifiedWord/>
      <trackRevisions>false</trackRevisions>
    </reviewItem>
    <reviewItem>
      <errorID>1589859c-2365-437d-84f0-c9fe7183262f</errorID>
      <errorWord>速查</errorWord>
      <group>L1_Word</group>
      <groupName>字词问题</groupName>
      <ability>L2_Typo</ability>
      <abilityName>字词错误</abilityName>
      <candidateList>
        <item>查</item>
      </candidateList>
      <explain>（査）Zhā〈名〉姓。</explain>
      <paraID>285B0650</paraID>
      <start>205</start>
      <end>207</end>
      <status>unmodified</status>
      <modifiedWord/>
      <trackRevisions>false</trackRevisions>
    </reviewItem>
    <reviewItem>
      <errorID>3c78ed68-f400-44bb-8d3d-0ecf2eddb06b</errorID>
      <errorWord>严不动摇</errorWord>
      <group>L1_Knowledge</group>
      <groupName>知识性问题</groupName>
      <ability>L2_Idiom</ability>
      <abilityName>成语和诗歌</abilityName>
      <candidateList>
        <item>毫不动摇</item>
      </candidateList>
      <explain>丝毫也不改变，一点都不动摇。</explain>
      <paraID>4BE37D3D</paraID>
      <start>172</start>
      <end>176</end>
      <status>unmodified</status>
      <modifiedWord/>
      <trackRevisions>false</trackRevisions>
    </reviewItem>
    <reviewItem>
      <errorID>906b8ee6-7f8e-4f78-bcbe-20e7c5fb437f</errorID>
      <errorWord>领导落实到国家治理各领域各方面各环节</errorWord>
      <group>L1_Political</group>
      <groupName>政治性问题</groupName>
      <ability>L2_Unpolitical</ability>
      <abilityName>政治敏感错误</abilityName>
      <candidateList>
        <item>党的领导落实到国家治理各领域各方面各环节</item>
      </candidateList>
      <explain/>
      <paraID>6B4D11CB</paraID>
      <start>190</start>
      <end>208</end>
      <status>unmodified</status>
      <modifiedWord/>
      <trackRevisions>false</trackRevisions>
    </reviewItem>
    <reviewItem>
      <errorID>5671a555-985a-40af-9fa4-01bc1a9bf4ef</errorID>
      <errorWord>性</errorWord>
      <group>L1_Word</group>
      <groupName>字词问题</groupName>
      <ability>L2_Typo</ability>
      <abilityName>字词错误</abilityName>
      <candidateList>
        <item>性和</item>
      </candidateList>
      <explain/>
      <paraID>6B4D11CB</paraID>
      <start>879</start>
      <end>880</end>
      <status>unmodified</status>
      <modifiedWord/>
      <trackRevisions>false</trackRevisions>
    </reviewItem>
    <reviewItem>
      <errorID>a9d66f76-2104-4409-a59f-ce8461c7cebf</errorID>
      <errorWord>一体推进不敢腐不能腐不想腐</errorWord>
      <group>L1_Political</group>
      <groupName>政治性问题</groupName>
      <ability>L2_Keyword</ability>
      <abilityName>固定表述</abilityName>
      <candidateList>
        <item>一体推进不敢腐、不能腐、不想腐</item>
      </candidateList>
      <explain>注意检查当前固定表述标点是否使用规范。</explain>
      <paraID>3E80E9B7</paraID>
      <start>83</start>
      <end>96</end>
      <status>unmodified</status>
      <modifiedWord/>
      <trackRevisions>false</trackRevisions>
    </reviewItem>
    <reviewItem>
      <errorID>75ad03e6-1830-4cb9-b1d7-b5f5a0f45852</errorID>
      <errorWord>性</errorWord>
      <group>L1_Word</group>
      <groupName>字词问题</groupName>
      <ability>L2_Typo</ability>
      <abilityName>字词错误</abilityName>
      <candidateList>
        <item>性和</item>
      </candidateList>
      <explain/>
      <paraID>290EFE3D</paraID>
      <start>59</start>
      <end>60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353E03-96CD-4922-B969-A6549CA1A216}">
  <ds:schemaRefs/>
</ds:datastoreItem>
</file>

<file path=docProps/app.xml><?xml version="1.0" encoding="utf-8"?>
<Properties xmlns="http://schemas.openxmlformats.org/officeDocument/2006/extended-properties" xmlns:vt="http://schemas.openxmlformats.org/officeDocument/2006/docPropsVTypes">
  <Template>Normal</Template>
  <Pages>21</Pages>
  <Words>11712</Words>
  <Characters>11947</Characters>
  <Lines>86</Lines>
  <Paragraphs>24</Paragraphs>
  <TotalTime>1</TotalTime>
  <ScaleCrop>false</ScaleCrop>
  <LinksUpToDate>false</LinksUpToDate>
  <CharactersWithSpaces>11967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2025-05-15T08:12:00Z</dcterms:created>
  <dc:creator>tlxy</dc:creator>
  <cp:lastModifiedBy>依依</cp:lastModifiedBy>
  <dcterms:modified xsi:type="dcterms:W3CDTF">2026-02-05T01:49:58Z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eyJoZGlkIjoiOWMxN2FmOWUxY2Y0YjVjMjU0OWM5ZTVhMjI4M2MwNTQiLCJ1c2VySWQiOiIyNjcwNTE4NTgifQ==</vt:lpwstr>
  </property>
  <property fmtid="{D5CDD505-2E9C-101B-9397-08002B2CF9AE}" pid="4" name="ICV">
    <vt:lpwstr>792B8EAB72214E93A61FEE72DE763D4E_13</vt:lpwstr>
  </property>
</Properties>
</file>